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https://www.autoritedelaconcurrence.fr/fr/decision-de-controle-des-concentrations/relative-la-prise-de-controle-exclusif-du-groupe-fournier</w:t>
      </w:r>
    </w:p>
    <w:p>
      <w:r>
        <w:t>Pages translated : 2</w:t>
      </w:r>
    </w:p>
    <w:p/>
    <w:p>
      <w:r>
        <w:rPr>
          <w:b/>
        </w:rPr>
        <w:t>[Pages 1–2]</w:t>
      </w:r>
    </w:p>
    <w:p>
      <w:r>
        <w:t xml:space="preserve">FRENCH REPUBLIC  </w:t>
        <w:br/>
        <w:t xml:space="preserve">Decision No. 22-DCC-257 of December 27, 2022  </w:t>
        <w:br/>
        <w:t xml:space="preserve">regarding the exclusive control of the Fournier Polymers group  </w:t>
        <w:br/>
        <w:t xml:space="preserve">by the company Meraxis  </w:t>
        <w:br/>
        <w:t xml:space="preserve">The Competition Authority,  </w:t>
        <w:br/>
        <w:t xml:space="preserve">Having regard to the complete notification file submitted to the mergers department on December 12, 2022, concerning the acquisition of control of the Fournier Polymers group by the company Meraxis, formalized by a share purchase agreement dated September 26,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the Fournier Polymers group by the company Meraxis. The parties are both active in the sector of polymer distribution. The operation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22-282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