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https://www.autoritedelaconcurrence.fr/fr/decision-de-controle-des-concentrations/relative-la-prise-de-controle-exclusif-du-groupe-fraikin</w:t>
      </w:r>
    </w:p>
    <w:p>
      <w:r>
        <w:t>Pages translated : 5</w:t>
      </w:r>
    </w:p>
    <w:p/>
    <w:p>
      <w:r>
        <w:rPr>
          <w:b/>
        </w:rPr>
        <w:t>[Pages 1–3]</w:t>
      </w:r>
    </w:p>
    <w:p>
      <w:r>
        <w:t xml:space="preserve">FRENCH REPUBLIC  </w:t>
        <w:br/>
        <w:t xml:space="preserve">Decision No. 17-DEX-01 of January 13, 2017  </w:t>
        <w:br/>
        <w:t>regarding the exclusive control of the Fraikin group by the Petit Forestier group</w:t>
      </w:r>
    </w:p>
    <w:p>
      <w:r>
        <w:t xml:space="preserve">The Competition Authority,  </w:t>
        <w:br/>
        <w:t xml:space="preserve">Having regard to the notification file submitted in full to the merger service on November 18, 2016, concerning the exclusive control by the company Groupe Petit Forestier of the company Fraikin Groupe, formalized by an acquisition agreement dated August 4, 2016;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Having regard to the other documents in the file;  </w:t>
        <w:br/>
        <w:t>Adopts the following decision:</w:t>
      </w:r>
    </w:p>
    <w:p>
      <w:r>
        <w:t>1. The company Groupe Petit Forestier SAS is at the head of the Petit Forestier group (hereinafter, "Petit Forestier"). It is indirectly held at [...] % by the Petit Forestier family. The remainder of the capital of Groupe Petit Forestier SAS is held at [...] % and [...] % respectively by the company [confidential] and by [confidential], which do not exercise any control, within the meaning of competition law, over the latter. Petit Forestier is primarily active in the industrial vehicle rental sector. It operates a network of [...] branches, of which [...] are located in France. Petit Forestier is also active in the sector of rental of temperature-controlled product conservation equipment (refrigerated containers and refrigerated cabinets). Additionally, Petit Forestier engages in the manufacturing of refrigerated bodies (through its subsidiary Lecapitaine) and refrigeration units (through its subsidiary Relec Froid). Finally, Petit Forestier sells used vehicles, exclusively intended for export, through its subsidiary Fridgetogo.</w:t>
      </w:r>
    </w:p>
    <w:p>
      <w:r>
        <w:t>2. The company Fraikin Groupe SAS (hereinafter, "Fraikin") is 100% owned by the company Financière Truck (Investissement) SAS (hereinafter, "FTI"). The latter is controlled by the company Financière Truck SARL, which is itself controlled by the CVC Capital Partners fund. Fraikin is primarily active in the industrial vehicle rental sector. It operates a network of [...] branches, of which [...] are located in France. Fraikin also engages in fleet management and, residually, in the sale of used vehicles.</w:t>
      </w:r>
    </w:p>
    <w:p>
      <w:r>
        <w:t>3. The transaction, formalized by an acquisition agreement dated August 4, 2016, involves the transfer by the shareholders of FTI of all their shares to Petit Forestier. Following the transaction, Petit Forestier will hold all the capital and voting rights of Fraikin.</w:t>
      </w:r>
    </w:p>
    <w:p>
      <w:r>
        <w:t>4. As it results in the exclusive control of Fraikin by Petit Forestier, the notified transaction constitutes a concentration within the meaning of Article L. 430-1 of the Commercial Code.</w:t>
      </w:r>
    </w:p>
    <w:p>
      <w:r>
        <w:t>5. The companies concerned together achieve a total worldwide turnover excluding taxes of more than 150 million euros (Petit Forestier: [...] euros for the fiscal year ending December 31, 2015; Fraikin: [...] euros for the same fiscal year). Each of these companies has achieved, in France, a turnover exceeding 50 million euros (Petit Forestier: [...] euros for the fiscal year ending December 31, 2015; Fraikin: [...] euros for the same fiscal year). Given the turnover achieved by the companies concerned,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6. Several markets are concerned by this transaction: (i) the upstream market for the manufacture of chassis, (ii) the upstream market for the manufacture of refrigerated bodies, (iii) the upstream market for the manufacture of refrigeration units for industrial vehicles, and (iv) the market for the rental of industrial vehicles.</w:t>
      </w:r>
    </w:p>
    <w:p>
      <w:r>
        <w:t>7. With regard specifically to the market for the rental of industrial vehicles, the decision-making practice has considered distinguishing several segments based on (i) the duration of the rental, whether it is short-term (less than one year) or long-term (more than one year)1, and (ii) the tonnage of the vehicles, distinguishing vehicles weighing less than or equal to 3.5 tons, those weighing between 3.5 tons and 15 tons, and those weighing more than 15 tons2.</w:t>
      </w:r>
    </w:p>
    <w:p>
      <w:r>
        <w:t xml:space="preserve">8. The notifying party also proposes to retain a segmentation of the industrial vehicle rental market based on the type of vehicle, distinguishing refrigerated vehicles from dry vehicles. According to Petit Forestier, refrigerated vehicles differ from dry vehicles by certain characteristics that relate to:  </w:t>
        <w:br/>
        <w:t xml:space="preserve">- their primary use, which is the conservation and transport of perishable goods;  </w:t>
        <w:br/>
        <w:t xml:space="preserve">- the products for which they are intended, namely temperature-sensitive products requiring conservation and transport under refrigeration;  </w:t>
        <w:br/>
        <w:t xml:space="preserve">- the technical arrangements required to ensure refrigeration or cold production;  </w:t>
        <w:br/>
        <w:t>- the regulations to which they are subject for the transport of certain products (perishable goods and pharmaceutical products).</w:t>
      </w:r>
    </w:p>
    <w:p>
      <w:r>
        <w:t xml:space="preserve">1 See in particular the letter from the Minister of Economy to the advisors of the company Eurazeo regarding a concentration in the automotive rental sector dated May 3, 2006.  </w:t>
        <w:br/>
        <w:t>2 See the letter from the Minister Eurazeo/Fraikin SA regarding a concentration in the aforementioned industrial vehicle rental sector and the letter from the Minister to the advisors of the company Eurazeo regarding a concentration in the aforementioned automotive rental sector; see the decision of the Competition Authority No. 09-DCC-74 of December 14, 2009, regarding the exclusive control of the company lovefrance SAS by the company Groupe Berto.</w:t>
      </w:r>
    </w:p>
    <w:p>
      <w:r>
        <w:t>9. These three segmentations (duration, tonnage, and type of vehicles) have been confirmed by the market test conducted with the main clients and competitors of the parties.</w:t>
      </w:r>
    </w:p>
    <w:p>
      <w:r>
        <w:t>10. The notifying party, however, considers that the long-term rental market is too restrictively defined. It argues that a market for the long-term provision of industrial vehicles should be considered, which would include not only long-term rental but also the purchase and lease with an option to purchase vehicles.</w:t>
      </w:r>
    </w:p>
    <w:p>
      <w:r>
        <w:t>11. However, such an extension of the relevant market does not appear justified in light of the qualitative and quantitative elements obtained so far in the course of the investigation. From a qualitative standpoint, the internal documents of the parties, the market test conducted with their main clients and competitors, as well as the survey launched by the Authority among clients identified as having renounced long-term rental, do not contain any elements justifying a departure from the decision-making practice. From a quantitative standpoint, Ifop conducted a survey designed by the parties and the investigation services, the results of which also do not seem capable of justifying the extension of the relevant market definition requested by the notifying party, as a very large portion of the companies surveyed were unable to answer questions regarding an increase in long-term rental rates. In this regard, it emerges from the investigation that several factors contribute to hindering the comparability of market prices between long-term rental, on the one hand, and purchase or lease with an option to purchase, on the other hand. Notably, significant differences in the services associated with these different modes of vehicle use and the importance of individualized price negotiations can be highlighted.</w:t>
      </w:r>
    </w:p>
    <w:p>
      <w:r>
        <w:t>12. Regarding the definition of geographical markets, the decision-making practice has considered a national dimension for long-term rental and a local dimension for short-term rental3.</w:t>
      </w:r>
    </w:p>
    <w:p>
      <w:r>
        <w:t>13. The local dimension of the short-term rental market has been confirmed by market tests and by the survey conducted by Ifop.</w:t>
      </w:r>
    </w:p>
    <w:p>
      <w:r>
        <w:t xml:space="preserve">14. With regard to the dimension of the long-term rental market, it emerges from market tests and the data provided by the notifying party that two dimensions should be considered:  </w:t>
        <w:br/>
        <w:t xml:space="preserve">- a national dimension taking into account only national players, who are in competition with "large account" clients,  </w:t>
        <w:br/>
        <w:t>- a local dimension taking into account all players, both national and local, for clients referred to as "diffuse," whose needs are local. It emerges from the investigation that this type of client travels a maximum distance of 50 kilometers to pick up rented vehicles at the agency.</w:t>
      </w:r>
    </w:p>
    <w:p>
      <w:r>
        <w:t>15. In this context, the examination provided for in I of Article L. 430-5 of the Commercial Code raises serious doubts about the impact on competition in (i) the long-term rental market for refrigerated industrial vehicles and (ii) the short-term rental market for refrigerated industrial vehicles.</w:t>
      </w:r>
    </w:p>
    <w:p>
      <w:r>
        <w:t xml:space="preserve">16. More specifically, the transaction raises serious doubts about the impact on competition through horizontal effects in the long-term and short-term rental markets for refrigerated industrial vehicles.  </w:t>
        <w:br/>
        <w:t>3 See in particular the letter from the Minister of Economy to the advisors of the company Eurazeo regarding a concentration in the aforementioned automotive rental sector and the decision of the Competition Authority No. 09-DCC-74 mentioned above. Nevertheless, a competitive analysis has also been conducted at the national level.</w:t>
      </w:r>
    </w:p>
    <w:p>
      <w:r>
        <w:rPr>
          <w:b/>
        </w:rPr>
        <w:t>[Pages 4–5]</w:t>
      </w:r>
    </w:p>
    <w:p>
      <w:r>
        <w:t>17. The transaction involves the acquisition of the second player (Fraikin) by the first player in the refrigerated industrial vehicle rental sector (Petit Forestier). Indeed, Petit Forestier is currently the leading provider of refrigerated industrial vehicle rental services with a fleet of [...] vehicles and a network of [...] branches in France. Fraikin, for its part, is the second largest renter of refrigerated industrial vehicles with a fleet of [...] vehicles and a network of [...] branches. The investigation confirmed that Petit Forestier and Fraikin are the two closest competitors in the refrigerated industrial vehicle rental market, not only due to the size of their vehicle fleets and the density of their territorial networks, but also because of the ranges of vehicles and the quality of services they offer, particularly for large account clients. These clients, when conducting tenders, almost systematically put the parties in competition. Furthermore, the survey conducted by Ifop indicates that the diversion ratios between the parties are relatively high: in the event of a price increase from one of these renters, the clients of that renter tend to switch to the other party. In addition, the internal documents of Petit Forestier and Fraikin show that clients often put them in competition: in particular, Fraikin's clientele has a strong tendency to choose Petit Forestier's offer as an alternative.</w:t>
      </w:r>
    </w:p>
    <w:p>
      <w:r>
        <w:t>18. At the national level, the new entity would hold a market share of around 90% in the long-term rental market for refrigerated industrial vehicles, with the transaction resulting in a market share increment of 20 points. At the local level, in the long-term and short-term rental markets for refrigerated industrial vehicles, the transaction leads to significant overlaps in activities between the parties, with market shares exceeding 50% in more than a hundred areas.</w:t>
      </w:r>
    </w:p>
    <w:p>
      <w:r>
        <w:t>19. As a result, the transaction raises serious doubts about its impact on competition through horizontal effects, this risk being supported in this case both by the elements collected during the market test conducted with the main clients and competitors of the parties, and by the quantitative tests indicating an incentive to raise prices.</w:t>
      </w:r>
    </w:p>
    <w:p>
      <w:r>
        <w:t>20. To address the identified competition issues, the notifying party submitted, on December 21, 2016, structural commitments under II of Article L. 430-5 of the Commercial Code. These commitments consist of the divestiture of approximately 700 refrigerated vehicles rented in the short term, approximately 2,000 refrigerated vehicles rented in the long term, and 6 branches.</w:t>
      </w:r>
    </w:p>
    <w:p>
      <w:r>
        <w:t>21. However, it appears from the market test regarding the commitments that the proposed divestitures are insufficient to create a player capable of exerting competitive pressure equivalent to that exerted by Fraikin before the transaction. Indeed, the majority of respondents consider the number of vehicles and branches to be divested to be insufficient, even though only two operators have shown interest in taking over all the vehicles and branches offered. It notably emerges from the market test and the investigation that the number of problematic local areas significantly exceeds the number of areas in which the notifying party proposes to commit to divesting branches.</w:t>
      </w:r>
    </w:p>
    <w:p>
      <w:r>
        <w:t>22. Furthermore, the vast majority of clients surveyed indicate that no alternative renter offers a level of service equivalent to that provided by Petit Forestier and Fraikin and that, in fact, changing providers would involve high costs and could lead to technical difficulties.</w:t>
      </w:r>
    </w:p>
    <w:p>
      <w:r>
        <w:t>23. The commitments proposed by the notifying party therefore do not eliminate the identified risks to competition in the long-term and short-term rental markets for refrigerated industrial vehicles.</w:t>
      </w:r>
    </w:p>
    <w:p>
      <w:r>
        <w:t>24. Consequently, due to the existence of serious doubts regarding the impact on competition in several markets, a thorough examination should be initiated, in accordance with III of Article L. 430-5 of the Commercial Code.</w:t>
      </w:r>
    </w:p>
    <w:p>
      <w:r>
        <w:t>DECIDES</w:t>
      </w:r>
    </w:p>
    <w:p>
      <w:r>
        <w:t>Sole Article: The transaction notified under number 16-125 is subject to a thorough examination under the conditions provided for in Article L. 430-6 of the Commercial Code.</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