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https://www.autoritedelaconcurrence.fr/fr/decision-de-controle-des-concentrations/relative-la-prise-de-controle-exclusif-du-groupe-fraisse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25-DCC-67 of March 21, 2025</w:t>
        <w:br/>
        <w:t>regarding the exclusive control acquisition of the Fraisse group by the company</w:t>
        <w:br/>
        <w:t>Euro Investissement</w:t>
        <w:br/>
        <w:t>The Competition Authority,</w:t>
        <w:br/>
        <w:t>Having regard to the complete notification file submitted to the mergers department on February 21, 2025,</w:t>
        <w:br/>
        <w:t>concerning the exclusive control acquisition of the Fraisse group by the company Euro Investissement,</w:t>
        <w:br/>
        <w:t>formalized by a share transfer agreement signed on July 25,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Euro Investissement of all</w:t>
        <w:br/>
        <w:t>the social rights and voting rights of the companies SEVI 63, Garage JF Fraisse, and SOGEMO which</w:t>
        <w:br/>
        <w:t>form the Fraisse group. The target companies operate retail automotive businesses for individuals and</w:t>
        <w:br/>
        <w:t>businesses distributing industrial vehicles. This operation constitutes a concentration within the meaning of</w:t>
        <w:br/>
        <w:t>Article L. 430-1 of the Commercial Code. Given the turnover generated by the companies concerned, the</w:t>
        <w:br/>
        <w:t>operation does not fall under the jurisdiction of the European Union. However, the control thresholds mentioned</w:t>
        <w:br/>
        <w:t>in II of Article L. 430-2 of the Commercial Code are exceeded. This operation is therefore subject to the</w:t>
        <w:br/>
        <w:t>provisions of Articles L. 430-3 and following of the Commercial Code relating to economic concentration.</w:t>
        <w:br/>
        <w:t>2. In light of the elements of the file, the operation is not likely to harm competition in the relevant markets.</w:t>
        <w:br/>
        <w:t>1 The real estate companies CM2F and CJF2F are also part of the scope of the operation.</w:t>
      </w:r>
    </w:p>
    <w:p>
      <w:r>
        <w:t>DECIDES</w:t>
        <w:br/>
        <w:t>Sole Article: The operation notified under number 24-286 is authorized.</w:t>
        <w:br/>
        <w:t>The Vice-President,</w:t>
        <w:br/>
        <w:t>Thibaud Vergé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