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https://www.autoritedelaconcurrence.fr/fr/decision-de-controle-des-concentrations/relative-la-prise-de-controle-exclusif-du-groupe-frial-par</w:t>
      </w:r>
    </w:p>
    <w:p>
      <w:r>
        <w:t>Pages translated : 2</w:t>
      </w:r>
    </w:p>
    <w:p/>
    <w:p>
      <w:r>
        <w:rPr>
          <w:b/>
        </w:rPr>
        <w:t>[Pages 1–2]</w:t>
      </w:r>
    </w:p>
    <w:p>
      <w:r>
        <w:t xml:space="preserve">FRENCH REPUBLIC  </w:t>
        <w:br/>
        <w:t xml:space="preserve">Decision No. 21-DCC-250 of December 10, 2021  </w:t>
        <w:br/>
        <w:t xml:space="preserve">regarding the exclusive control acquisition of the Frial group by the Le Duff group  </w:t>
        <w:br/>
        <w:t xml:space="preserve">The Competition Authority,  </w:t>
        <w:br/>
        <w:t xml:space="preserve">Having regard to the complete notification file sent to the mergers department on November 25, 2021, concerning the exclusive control acquisition of the Frial group by the Le Duff group, formalized by a purchase promise dated November 16,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of control of the Frial group by the Le Duff group, active in the sector of manufacturing frozen food products. It constitutes a concentration within the meaning of Article L. 430-1 of the Commercial Code. Given the turnover achieved by the concerned companies,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21-244 is authorized.  </w:t>
        <w:br/>
        <w:t xml:space="preserve">The acting president,  </w:t>
        <w:br/>
        <w:t xml:space="preserve">Emmanuel Combe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