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https://www.autoritedelaconcurrence.fr/fr/decision-de-controle-des-concentrations/relative-la-prise-de-controle-exclusif-du-groupe-gardengate</w:t>
      </w:r>
    </w:p>
    <w:p>
      <w:r>
        <w:t>Pages translated : 2</w:t>
      </w:r>
    </w:p>
    <w:p/>
    <w:p>
      <w:r>
        <w:rPr>
          <w:b/>
        </w:rPr>
        <w:t>[Pages 1–2]</w:t>
      </w:r>
    </w:p>
    <w:p>
      <w:r>
        <w:t xml:space="preserve">FRENCH REPUBLIC  </w:t>
        <w:br/>
        <w:t xml:space="preserve">Decision No. 21-DCC-170 of September 24, 2021  </w:t>
        <w:br/>
        <w:t xml:space="preserve">regarding the exclusive control acquisition of the Gardengate group by the  </w:t>
        <w:br/>
        <w:t xml:space="preserve">company Equistone Partners Europe SAS  </w:t>
        <w:br/>
        <w:t xml:space="preserve">The Competition Authority,  </w:t>
        <w:br/>
        <w:t xml:space="preserve">Having regard to the complete notification file sent to the mergers department on September 8, 2021,  </w:t>
        <w:br/>
        <w:t xml:space="preserve">concerning the exclusive control acquisition of the Gardengate group by the company Equistone Partners  </w:t>
        <w:br/>
        <w:t xml:space="preserve">Europe SAS, formalized by a share purchase agreement dated July 29,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Equistone Partners  </w:t>
        <w:br/>
        <w:t xml:space="preserve">Europe SAS of the Gardengate group, which is active in the manufacturing and sale of aluminum gates and doors and other related aluminum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21-170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