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https://www.autoritedelaconcurrence.fr/fr/decision-de-controle-des-concentrations/relative-la-prise-de-controle-exclusif-du-groupe-gascogne</w:t>
      </w:r>
    </w:p>
    <w:p>
      <w:r>
        <w:t>Pages translated : 2</w:t>
      </w:r>
    </w:p>
    <w:p/>
    <w:p>
      <w:r>
        <w:rPr>
          <w:b/>
        </w:rPr>
        <w:t>[Pages 1–2]</w:t>
      </w:r>
    </w:p>
    <w:p>
      <w:r>
        <w:t xml:space="preserve">FRENCH REPUBLIC  </w:t>
        <w:br/>
        <w:t xml:space="preserve">Decision No. 23-DCC-41 of March 3, 2023  </w:t>
        <w:br/>
        <w:t xml:space="preserve">regarding the exclusive control acquisition of the Gascogne group by the  </w:t>
        <w:br/>
        <w:t xml:space="preserve">Biolandes group  </w:t>
        <w:br/>
        <w:t xml:space="preserve">The Competition Authority,  </w:t>
        <w:br/>
        <w:t xml:space="preserve">Having regard to the complete notification file submitted to the mergers department on February 15, 2023,  </w:t>
        <w:br/>
        <w:t xml:space="preserve">concerning the exclusive control acquisition of the company Gascogne, the parent company of the eponymous group,  </w:t>
        <w:br/>
        <w:t xml:space="preserve">by the company Biolandes Technologies, a company of the Biolandes group, through the company  </w:t>
        <w:br/>
        <w:t xml:space="preserve">Attis 2, formalized by a share acquisition agreement and an investment protocol as well  </w:t>
        <w:br/>
        <w:t xml:space="preserve">as their amendments dated September 30, 2022, December 9, 2022, and January 19,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Biolandes group of the Gascogne group, currently jointly controlled by the Biolandes group and the company Les dérivés résiniques et terpéniques. The Biolandes and Gascogne groups are notably active in the wood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23-005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