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https://www.autoritedelaconcurrence.fr/fr/decision-de-controle-des-concentrations/relative-la-prise-de-controle-exclusif-du-groupe-gaucher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20-DCC-138 of October 13, 2020  </w:t>
        <w:br/>
        <w:t xml:space="preserve">regarding the exclusive control acquisition of the Gaucher group by the  </w:t>
        <w:br/>
        <w:t xml:space="preserve">Bordeaux Nord Aquitaine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September 25, 2020, concerning the exclusive control acquisition of the Gaucher group by the  </w:t>
        <w:br/>
        <w:t xml:space="preserve">Bordeaux Nord Aquitaine group, formalized by a share transfer agreement dated  </w:t>
        <w:br/>
        <w:t xml:space="preserve">September 25,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the Bordeaux Nord  </w:t>
        <w:br/>
        <w:t xml:space="preserve">Aquitaine group of the Gaucher group, both primarily active in the markets for the provision of  </w:t>
        <w:br/>
        <w:t xml:space="preserve">diagnostics and care in healthcare facilities and for follow-up and rehabilitation care.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fall  </w:t>
        <w:br/>
        <w:t xml:space="preserve">under the jurisdiction of the European Union. On the other hand, the control thresholds mentioned  </w:t>
        <w:br/>
        <w:t xml:space="preserve">in point I of Article L. 430-2 of the Commercial Code are exceeded. The present operation is  </w:t>
        <w:br/>
        <w:t xml:space="preserve">therefore 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20-150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