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https://www.autoritedelaconcurrence.fr/fr/decision-de-controle-des-concentrations/relative-la-prise-de-controle-exclusif-du-groupe-geronimo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24-DCC-38 of March 4, 2024</w:t>
        <w:br/>
        <w:t>regarding the exclusive control acquisition of the Geronimo group by the</w:t>
        <w:br/>
        <w:t>Wismettac group</w:t>
        <w:br/>
        <w:t>The Competition Authority,</w:t>
        <w:br/>
        <w:t>Having regard to the notification file sent to the mergers department on December 1, 2023,</w:t>
        <w:br/>
        <w:t>declared complete on February 8, 2024, concerning the exclusive control acquisition by Wismettac</w:t>
        <w:br/>
        <w:t>of the Geronimo group, formalized by the letter of intent dated August 4, 2023;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exclusive control acquisition by Wismettac of the Geronimo group, active in the wholesale distribution of food products. It constitutes a concentration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23-311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