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https://www.autoritedelaconcurrence.fr/fr/decision-de-controle-des-concentrations/relative-la-prise-de-controle-exclusif-du-groupe-ginouves</w:t>
      </w:r>
    </w:p>
    <w:p>
      <w:r>
        <w:t>Pages translated : 2</w:t>
      </w:r>
    </w:p>
    <w:p/>
    <w:p>
      <w:r>
        <w:rPr>
          <w:b/>
        </w:rPr>
        <w:t>[Pages 1–2]</w:t>
      </w:r>
    </w:p>
    <w:p>
      <w:r>
        <w:t xml:space="preserve">REPUBLIC OF FRANCE  </w:t>
        <w:br/>
        <w:t xml:space="preserve">Decision No. 21-DCC-40 of March 15, 2021  </w:t>
        <w:br/>
        <w:t xml:space="preserve">regarding the exclusive control acquisition of the Ginouves group by the  </w:t>
        <w:br/>
        <w:t xml:space="preserve">M-Energy group  </w:t>
        <w:br/>
        <w:t xml:space="preserve">The Competition Authority,  </w:t>
        <w:br/>
        <w:t xml:space="preserve">Having regard to the complete notification file submitted to the mergers department on February 19, 2021,  </w:t>
        <w:br/>
        <w:t xml:space="preserve">concerning the exclusive control acquisition of the Ginouves group by the M-Energy group, formalized  </w:t>
        <w:br/>
        <w:t xml:space="preserve">by a memorandum of understanding dated January 12,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Ginouves group by the M-Energy group, both primarily active in the petroleum products distribution sector.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point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21-021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