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https://www.autoritedelaconcurrence.fr/fr/decision-de-controle-des-concentrations/relative-la-prise-de-controle-exclusif-du-groupe-greenflex</w:t>
      </w:r>
    </w:p>
    <w:p>
      <w:r>
        <w:t>Pages translated : 2</w:t>
      </w:r>
    </w:p>
    <w:p/>
    <w:p>
      <w:r>
        <w:rPr>
          <w:b/>
        </w:rPr>
        <w:t>[Pages 1–2]</w:t>
      </w:r>
    </w:p>
    <w:p>
      <w:r>
        <w:t>FRENCH REPUBLIC</w:t>
        <w:br/>
        <w:t>Decision No. 25-DCC-268 of November 12, 2025</w:t>
        <w:br/>
        <w:t>regarding the exclusive control acquisition of the Greenflex group by the</w:t>
        <w:br/>
        <w:t>Oteis group</w:t>
        <w:br/>
        <w:t>The Competition Authority,</w:t>
        <w:br/>
        <w:t>Having regard to the complete notification file sent to the mergers department on October 23, 2025,</w:t>
        <w:br/>
        <w:t>concerning the exclusive control acquisition of the Greenflex group by the Oteis group, formalized by</w:t>
        <w:br/>
        <w:t>a purchase promise dated October 17, 2025;</w:t>
        <w:br/>
        <w:t>Having regard to Book IV of the Commercial Code relating to the freedom of prices and competition, and</w:t>
        <w:br/>
        <w:t>notably its Articles L. 430-1 to L. 430-7;</w:t>
        <w:br/>
        <w:t>Adopts the following decision:</w:t>
        <w:br/>
        <w:t>1. The notified operation consists of the acquisition, by the Oteis group, of all the shares</w:t>
        <w:br/>
        <w:t>comprising the share capital and voting rights of the company Greenflex, which is active in</w:t>
        <w:br/>
        <w:t>the multi-technical management and maintenance services sector including energy optimization services. Given the revenues generated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25-294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