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https://www.autoritedelaconcurrence.fr/fr/decision-de-controle-des-concentrations/relative-la-prise-de-controle-exclusif-du-groupe-gscm-par</w:t>
      </w:r>
    </w:p>
    <w:p>
      <w:r>
        <w:t>Pages translated : 2</w:t>
      </w:r>
    </w:p>
    <w:p/>
    <w:p>
      <w:r>
        <w:rPr>
          <w:b/>
        </w:rPr>
        <w:t>[Pages 1–2]</w:t>
      </w:r>
    </w:p>
    <w:p>
      <w:r>
        <w:t xml:space="preserve">FRENCH REPUBLIC  </w:t>
        <w:br/>
        <w:t xml:space="preserve">Decision No. 21-DCC-133 of July 26, 2021  </w:t>
        <w:br/>
        <w:t xml:space="preserve">regarding the exclusive control acquisition of the GSCM group by the company  </w:t>
        <w:br/>
        <w:t xml:space="preserve">Equistone Partners Europe SAS  </w:t>
        <w:br/>
        <w:t xml:space="preserve">The Competition Authority,  </w:t>
        <w:br/>
        <w:t xml:space="preserve">Having regard to the complete notification file sent to the mergers department on June 25, 2021,  </w:t>
        <w:br/>
        <w:t xml:space="preserve">concerning the exclusive control acquisition of the GSCM group by the company Equistone Partners Europe SAS, formalized by a firm offer dated June 25, 2021;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Adopts the following decision:  </w:t>
        <w:br/>
        <w:t xml:space="preserve">1. The notified operation consists of the exclusive control acquisition by the company Equistone Partners Europe SAS of the company Comodor, the parent company of the GSCM group, active in the sector of design, manufacturing, and distribution of modular constructions.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21-128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