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https://www.autoritedelaconcurrence.fr/fr/decision-de-controle-des-concentrations/relative-la-prise-de-controle-exclusif-du-groupe-guillemet</w:t>
      </w:r>
    </w:p>
    <w:p>
      <w:r>
        <w:t>Pages translated : 8</w:t>
      </w:r>
    </w:p>
    <w:p/>
    <w:p>
      <w:r>
        <w:rPr>
          <w:b/>
        </w:rPr>
        <w:t>[Pages 1–3]</w:t>
      </w:r>
    </w:p>
    <w:p>
      <w:r>
        <w:t xml:space="preserve">FRENCH REPUBLIC  </w:t>
        <w:br/>
        <w:t xml:space="preserve">Decision No. 11-DCC-157 of October 24, 2011  </w:t>
        <w:br/>
        <w:t xml:space="preserve">regarding the exclusive control of the Guillemet group by  </w:t>
        <w:br/>
        <w:t>Chausson Matériaux SA</w:t>
      </w:r>
    </w:p>
    <w:p>
      <w:r>
        <w:t xml:space="preserve">The Competition Authority,  </w:t>
        <w:br/>
        <w:t xml:space="preserve">Having regard to the concentration file submitted in full to the concentrations service on September 20, 2011, regarding the exclusive control of the Guillemet group by Chausson Matériaux;  </w:t>
        <w:br/>
        <w:t xml:space="preserve">Having regard to Book IV of the Commercial Code relating to price freedom and competition, and in particular Articles L.430-1 to L.430-7;  </w:t>
        <w:br/>
        <w:t>Adopts the following decision:</w:t>
      </w:r>
    </w:p>
    <w:p>
      <w:r>
        <w:t xml:space="preserve">I. The companies concerned and the operation  </w:t>
        <w:br/>
        <w:t xml:space="preserve">1. The company Financière CM, the parent company of the Chausson Matériaux Group (hereinafter "the Chausson Matériaux group"), holds control of the public limited company Chausson Matériaux (hereinafter "Chausson Matériaux"), active in the trading of materials and, to a lesser extent, in the prefabrication of concrete blocks and the marketing of ready-mixed concrete1, as well as that of the company Priba Matériaux, which is also active in the trading of materials. The Chausson Matériaux Group is present, through 246 establishments (including 217 construction materials trading agencies), in 47 metropolitan departments.  </w:t>
        <w:br/>
        <w:t xml:space="preserve">2. The simplified joint-stock company Les Fils de Eugène Guillemet is the parent company of the Guillemet group (hereinafter "the Guillemet group"), active in the trading of materials in the departments of Loire (42) and Saône-et-Loire (71) through the company Guillemet Matériaux (hereinafter "Guillemet Matériaux") as well as in the ready-mixed concrete sector, in the department of Saône-et-Loire (71), through the company Béton Contrôle Montceau Le Creusot (hereinafter "BCMC")2.  </w:t>
        <w:br/>
        <w:t xml:space="preserve">1 This activity represents approximately 6% of the turnover of the Chausson Matériaux group.  </w:t>
        <w:br/>
        <w:t>2 The Guillemet group also controls the company Garage J Burtin and the company Guillemet Bricolage, located in Montceau-les-Mines, which will be sold, prior to this operation, to a third-party buyer.</w:t>
      </w:r>
    </w:p>
    <w:p>
      <w:r>
        <w:t xml:space="preserve">3. The operation, formalized by a letter of intent dated July 28, 2011, involves the acquisition by Chausson Matériaux of the entire share capital and voting rights of the companies Les Fils de Eugène Guillemet, Guillemet Matériaux, and Béton Contrôle Montceau Le Creusot. As it results in the exclusive control of the Guillemet group by Chausson Matériaux, the notified operation constitutes a concentration within the meaning of Article L.430-1 of the Commercial Code.  </w:t>
        <w:br/>
        <w:t>4. The companies concerned together achieved a consolidated worldwide turnover excluding taxes of more than 150 million euros in the last closed financial year (Chausson Matériaux Group: 622.8 million euros for the financial year ended December 31, 2010; Guillemet Group: 50.5 million euros for the same financial year). Each of these companies achieved, in France, a turnover exceeding 50 million euros (Chausson Matériaux Group: 622.8 million euros for the financial year ended December 31, 2010; Guillemet Group: 50.5 million euros for the same financial year). Given these turnover figures, the operation does not have a community dimension. On the other hand, the control thresholds mentioned in I of Article L.430-2 of the Commercial Code are exceeded. This operation is therefore subject to the provisions of Articles L.430-3 and following of the Commercial Code relating to economic concentration.</w:t>
      </w:r>
    </w:p>
    <w:p>
      <w:r>
        <w:t xml:space="preserve">II. Definition of the relevant markets  </w:t>
        <w:br/>
        <w:t xml:space="preserve">5. The parties are simultaneously active in the sectors of construction materials trading and ready-mixed concrete. The Chausson Matériaux and Guillemet groups are thus both present upstream as buyers of materials from manufacturers and as manufacturers of concrete. Downstream, both groups are present as traders through generalist sales outlets aimed at professionals. Furthermore, both groups operate in the downstream market for ready-mixed concrete.  </w:t>
        <w:br/>
        <w:t xml:space="preserve">A. CONSTRUCTION MATERIALS TRADING SECTOR  </w:t>
        <w:br/>
        <w:t xml:space="preserve">6. In the construction materials trading sector, the Chausson and Guillemet groups are both present upstream as buyers of materials from manufacturers and downstream as sellers.  </w:t>
        <w:br/>
        <w:t xml:space="preserve">1. DELIMITATION OF PRODUCT AND SERVICE MARKETS  </w:t>
        <w:br/>
        <w:t xml:space="preserve">a) Upstream markets for the supply of construction materials  </w:t>
        <w:br/>
        <w:t xml:space="preserve">7. In terms of the supply of construction materials (or "BTP"), decision-making practice distinguishes as many markets as there are product families3, each having specific characteristics4. The structure of the offer, pricing dynamics, or even manufacturing constraints can indeed vary significantly from one product family to another5.  </w:t>
        <w:br/>
        <w:t xml:space="preserve">8. Decision-making practice has thus notably identified the following families: "structural work and masonry; roofing and waterproofing; wood and panels; interior and exterior joinery; partitions and ceilings; insulation; tools; sanitary; tiling; heating; paint and treatment; garden and environment; hardware."6 Furthermore, the practice has considered a segmentation within the public works materials market corresponding to road materials, sewer pipes, or slabs and paving7, without, however, making a definitive decision8.  </w:t>
        <w:br/>
        <w:t xml:space="preserve">9. In this case, the parties simultaneously purchase products that they consider to fall within the following families: "structural work and masonry; roofing and waterproofing; public works and sanitation; wood and panels; interior and exterior joinery; insulation, partitions and ceilings; tools, hardware; tiling, paint and treatment; environment."  </w:t>
        <w:br/>
        <w:t xml:space="preserve">10. The question of market segmentation for the supply of materials can, however, be left open in that, regardless of the delimitation retained, the conclusions of the competitive analysis will remain unchanged.  </w:t>
        <w:br/>
        <w:t xml:space="preserve">b) Downstream markets for construction materials trading  </w:t>
        <w:br/>
        <w:t xml:space="preserve">11. Decision-making practice, both community and national, defines construction materials trading (or "BTP") as "a traditional activity through which traders sell from stock all the materials necessary for building companies."9 This activity consists of wholesaling a wide assortment of materials that, although not substitutable for each other, are nevertheless necessary and often associated to carry out a construction project10.  </w:t>
        <w:br/>
        <w:t>12. The materials thus marketed are primarily intended for professionals, which implies specificities in the organization of product distribution (larger stocks, payment terms, few take-away sales, etc.) as well as in the breadth and depth of the ranges of materials offered11. This market is thus distinguished from the distribution of DIY materials, in that the offer of traders is aimed at a professional clientele.</w:t>
      </w:r>
    </w:p>
    <w:p>
      <w:r>
        <w:rPr>
          <w:b/>
        </w:rPr>
        <w:t>[Pages 4–6]</w:t>
      </w:r>
    </w:p>
    <w:p>
      <w:r>
        <w:t>own request12, even if building materials traders exert competitive pressure on DIY distribution13. In this case, the parties have a clientele composed of professionals and individuals known as "serious DIYers."</w:t>
      </w:r>
    </w:p>
    <w:p>
      <w:r>
        <w:t>13. Within the construction materials trading market, decision-making practice has established a distinction between "generalist" and "specialist" traders, based on the depth of the range of materials distributed14. Thus, the offer of "generalist" traders covers a complete assortment of product ranges. "Specialist" traders, whose offer is focused on a product family, provide deeper ranges and more advanced expertise on specific product lines. Therefore, even if generalist and specialist points of sale may be very close geographically, they are only very imperfectly substitutable15. In this case, the companies Chausson Matériaux, Priba Matériaux, and Guillemet Matériaux are only active in the generalist trading sector.</w:t>
      </w:r>
    </w:p>
    <w:p>
      <w:r>
        <w:t>2. DELIMITATION OF GEOGRAPHICAL MARKETS</w:t>
        <w:br/>
        <w:t>a) Upstream markets for the supply of building materials</w:t>
        <w:br/>
        <w:t>14. Regarding the markets for the supply of materials, decision-making practice retains, at a minimum, a national dimension16. Indeed, most suppliers are active throughout the territory and have a uniform product offering and commercial policy17. There is no reason to challenge this definition in this case.</w:t>
      </w:r>
    </w:p>
    <w:p>
      <w:r>
        <w:t>b) Downstream markets for the trading of building materials</w:t>
        <w:br/>
        <w:t>15. Decision-making practice considers that the markets for the trading of materials are of a local dimension, with professionals in the sector primarily making their purchases close to their area of operation18.</w:t>
      </w:r>
    </w:p>
    <w:p>
      <w:r>
        <w:t>16. In practice, the distances traveled by buyers of building materials vary according to the degree of specialization of the point of sale concerned. Thus, the defined catchment areas extend over a radius of up to 50 km around the point of sale19 for generalist traders and approximately 50 to 75 km around the point of sale, generally associated with the departmental level, for specialist traders21.</w:t>
      </w:r>
    </w:p>
    <w:p>
      <w:r>
        <w:t>17. However, the catchment area may vary depending on the size of the point of sale and other characteristics specific to each area, such as geography, population density, or other stores located nearby. The actual behavior of consumers in a given area can therefore be specified with the data collected by the points of sale on the actual location of their customers. In other sectors, it is generally considered that the catchment area of a store can be limited to that which groups customers representing 80% of the store's turnover or 80% of the store's customers, depending on the available data22. The remainder is considered as occasional and insignificant clientele, sometimes very far from the point of sale.</w:t>
      </w:r>
    </w:p>
    <w:p>
      <w:r>
        <w:t>18. In this case, the points of sale of the Guillemet group are located in the departments of Loire (42) and Saône-et-Loire (71), from which the Chausson Matériaux group is absent. Furthermore, at the request of the investigation services, the parties also presented an analysis of a geographical market centered on each agency and grouping 80% of the clients of that agency.</w:t>
      </w:r>
    </w:p>
    <w:p>
      <w:r>
        <w:t>19. Except for the Digoin agency, the agencies of the Guillemet group generate 100% of their turnover in their department of establishment. Markets grouping 80% of the clients of each agency would therefore necessarily be narrower than the concerned departments (Loire (42) and Saône-et-Loire (71)) and do not overlap.</w:t>
      </w:r>
    </w:p>
    <w:p>
      <w:r>
        <w:t>20. Regarding the Digoin agency, which generates 80% of its turnover in the departments of Saône-et-Loire (71 – 75% of its turnover) and Allier (03 – 25% of its turnover), the parties note that it is located near two agencies of the Chausson Matériaux group located in Montluçon and Montmarault. The parties estimate that defined catchment areas around these agencies could lead to a low overlap of activity.</w:t>
      </w:r>
    </w:p>
    <w:p>
      <w:r>
        <w:t>21. The question of the geographical definition of the building materials trading market can, however, be left open insofar as, regardless of the delimitation retained, the conclusions of the competitive analysis will remain unchanged.</w:t>
      </w:r>
    </w:p>
    <w:p>
      <w:r>
        <w:t>B. READY-MIXED CONCRETE SECTOR</w:t>
        <w:br/>
        <w:t>1. DELIMITATION OF PRODUCT AND SERVICE MARKETS</w:t>
        <w:br/>
        <w:t>22. The parties are simultaneously active in the ready-mixed concrete sector. BCMC thus holds two ready-mixed concrete plants and Chausson Matériaux eight.</w:t>
      </w:r>
    </w:p>
    <w:p>
      <w:r>
        <w:t>23. The Competition Council has already had the opportunity to present the ready-mixed concrete sector in several decisions. It has noted that, "an essential construction material commonly referred to as 'reconstituted stone' or 'artificial stone', concrete is a mixture of aggregates, cement, water, and additives that can be manufactured off-site in a ready-to-use form using a fixed plant"23. This manufacturing takes place "in fixed or mobile concrete plants. The largest plants are fixed and generally include an automated mixing station, allowing for a regular dosage of the various components, according to the desired quality of the concrete"24. Subsequently, "when produced in fixed plants, ready-mixed concrete is most often delivered by the manufacturer to the user's site. Transport is carried out in mixer trucks (tipping trucks) with a capacity of six to nine cubic meters, which allow for delaying the setting of the concrete"25.</w:t>
      </w:r>
    </w:p>
    <w:p>
      <w:r>
        <w:t>24. National practice has also previously considered the existence of an upstream market for precast concrete, without, however, making a definitive decision26. Indeed, the Minister of Economy estimated that given the low activity of the parties involved (including the Chausson Matériaux group), the importance of competitors, and the fact that the parties sold their entire production through their own trading activity, it was not necessary to further define this potential market. In this case, the parties jointly manufacture approximately 210,000 m3 of ready-mixed concrete (150,000 m3 for the Chausson Matériaux group and 60,000 m3 for the Guillemet group) in 10 plants, representing a total production far below that of sector leaders such as Lafarge (260 plants in France for a production of 6.9 million m3 of ready-mixed concrete), Holcim (130 plants), Cemex (240 plants for a production of 5.6 million m3), or Italcementi Group (188 plants and a production of 4.2 million m3)27. Above all, the parties themselves distribute almost all of their production of ready-mixed concrete (the trading activity of BCMC represents approximately 1.6 million euros, or 20% of its total activity).</w:t>
      </w:r>
    </w:p>
    <w:p>
      <w:r>
        <w:t>25. The question of the exact delimitation of the market for the marketing of ready-mixed concrete can, however, be left open insofar as, regardless of the delimitation retained, the conclusions of the competitive analysis will remain unchanged.</w:t>
      </w:r>
    </w:p>
    <w:p>
      <w:r>
        <w:t>2. DELIMITATION OF GEOGRAPHICAL MARKETS</w:t>
        <w:br/>
        <w:t>26. In terms of the marketing of ready-mixed concrete, national decision-making practice has noted that in decision n°99-D-48 of July 6, 1999, the Competition Council "has already considered that concrete plants, which consume aggregates, are generally located near urban centers that consume concrete, at a maximum distance of 25 to 30 kilometers"28. The Competition Council has thus found that "the geographical markets for ready-mixed concrete are defined as circular areas located around consumer centers."</w:t>
      </w:r>
    </w:p>
    <w:p>
      <w:r>
        <w:rPr>
          <w:b/>
        </w:rPr>
        <w:t>[Pages 7–8]</w:t>
      </w:r>
    </w:p>
    <w:p>
      <w:r>
        <w:t>urban consumers of concrete and having a radius of twenty to twenty-five, or even thirty, kilometers; that this definition requires, in order to determine the conditions of the offer in each of these markets, to draw on a map circles centered on the consuming agglomerations (and not on the production units, contrary to the method applied by the company Financière Granulats in its submissions) and to retain the production plants located within each of these circles.</w:t>
      </w:r>
    </w:p>
    <w:p>
      <w:r>
        <w:t>27. The Competition Council also noted that with the method of manufacturing ready-mixed concrete, the "main disadvantage remains the workability duration of the concrete, limited to a maximum of two hours, which requires keeping the transport time between the place of manufacture and the place of use within a range of 45 to 90 minutes depending on climatic conditions and the application or not of special treatments (retarding or plasticizing additives). It is therefore a non-storable product. This results in a proliferation of fixed ready-mixed concrete plants across the national territory so that practically every construction site has a fixed plant within a radius of 30 to 50 km. For the delivery of concrete, these plants rely on specialized transport or vehicle rental service providers.</w:t>
      </w:r>
    </w:p>
    <w:p>
      <w:r>
        <w:t>28. In this case, the ready-mixed concrete plants of BCMC are located in geographically defined markets around the urban centers of Gueugnon and Monceau-les-Mines / Le Creusot. However, Chausson Matériaux is not present in circular areas of 30 kilometers around these urban centers. Indeed, the parties note that the nearest ready-mixed concrete plant of Chausson Matériaux, located in Maurs in the Cantal department (15), is at a distance of 250 kilometers from Gueugnon and 275 kilometers from Monceau-les-Mines / Le Creusot.</w:t>
      </w:r>
    </w:p>
    <w:p>
      <w:r>
        <w:t>29. The question of the exact delimitation of the ready-mixed concrete market may be left open insofar as, regardless of the delimitation retained, the conclusions of the competitive analysis will remain unchanged.</w:t>
      </w:r>
    </w:p>
    <w:p>
      <w:r>
        <w:t>III. Competitive Analysis</w:t>
        <w:br/>
        <w:t>A. UPSTREAM MARKETS FOR CONSTRUCTION MATERIALS SUPPLY</w:t>
        <w:br/>
        <w:t>30. In the upstream markets for construction materials supply, of national dimension, the parties simultaneously purchase products that they consider to belong to the following families: "structural work and masonry; roofing and waterproofing; public works and sanitation; wood and panels; interior and exterior joinery; insulation, partitions and ceilings; tools, hardware; tiling, paint and treatment; environment."</w:t>
      </w:r>
    </w:p>
    <w:p>
      <w:r>
        <w:t>31. The parties will hold market shares systematically below 10% in each of these markets, and even below 5% in each of them except for the markets of structural work and masonry and insulation, partitions and ceilings. Furthermore, the market share increment is systematically below 1%, with Guillemet Matériaux having very weak positions in these markets.</w:t>
      </w:r>
    </w:p>
    <w:p>
      <w:r>
        <w:t>32. Consequently, the operation will not be likely to harm competition in the upstream markets for distribution materials.</w:t>
      </w:r>
    </w:p>
    <w:p>
      <w:r>
        <w:t>B. DOWNSTREAM MARKETS</w:t>
        <w:br/>
        <w:t>33. In the matter of construction materials trading, with a geographical dimension corresponding to a catchment area grouping 80% of the clientele of each agency, the activities of the parties overlap in the catchment area of the Guillemet Matériaux agency in Digoin (71*). Given the low turnover figures (13.3 million euros in total for both parties in the Allier department, of which 1 million euros for the Digoin agency), and thus the low market share of the parties, and the limited geographical overlap between the activities of these agencies (the bulk of the turnover of the Chausson Matériaux group is generated by the agency located in Montluçon to the West while the clients of the Guillemet Matériaux agency are located to the East), the operation will not be likely to harm competition in the local markets for construction materials trading.</w:t>
      </w:r>
    </w:p>
    <w:p>
      <w:r>
        <w:t>34. In the matter of ready-mixed concrete, the activities of the parties will not overlap at all. The operation will therefore not be likely to harm competition in the local markets for the marketing of ready-mixed concrete.</w:t>
      </w:r>
    </w:p>
    <w:p>
      <w:r>
        <w:t>DECIDES</w:t>
        <w:br/>
        <w:t>Sole Article: The operation notified under number 11-0166 is authorized.</w:t>
        <w:br/>
        <w:t>The President,</w:t>
        <w:br/>
        <w:t>Bruno Lasserre</w:t>
        <w:br/>
        <w:t>Competition Authority</w:t>
        <w:br/>
        <w:t>* Corrected material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