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https://www.autoritedelaconcurrence.fr/fr/decision-de-controle-des-concentrations/relative-la-prise-de-controle-exclusif-du-groupe-hamon-par</w:t>
      </w:r>
    </w:p>
    <w:p>
      <w:r>
        <w:t>Pages translated : 2</w:t>
      </w:r>
    </w:p>
    <w:p/>
    <w:p>
      <w:r>
        <w:rPr>
          <w:b/>
        </w:rPr>
        <w:t>[Pages 1–2]</w:t>
      </w:r>
    </w:p>
    <w:p>
      <w:r>
        <w:t xml:space="preserve">FRENCH REPUBLIC  </w:t>
        <w:br/>
        <w:t xml:space="preserve">Decision No. 23-DCC-06 of January 6, 2023  </w:t>
        <w:br/>
        <w:t xml:space="preserve">regarding the exclusive control acquisition of the Hamon group by the company  </w:t>
        <w:br/>
        <w:t xml:space="preserve">Compagnie bretonne de diffusion automobile  </w:t>
        <w:br/>
        <w:t xml:space="preserve">The Competition Authority,  </w:t>
        <w:br/>
        <w:t xml:space="preserve">Having regard to the complete notification file sent to the mergers department on  </w:t>
        <w:br/>
        <w:t xml:space="preserve">December 21, 2022, concerning the acquisition of control of the company SGVSA, the parent company of the Hamon group, by the company Compagnie bretonne de diffusion automobile, formalized by a letter of intent dated September 27,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SGVSA, the parent company of the Hamon group, operating car dealerships located in Lannion (22), Saint-Brieuc (22), and Yffiniac (22), by the company Compagnie bretonne de diffusion automobile,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22-262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