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https://www.autoritedelaconcurrence.fr/fr/decision-de-controle-des-concentrations/relative-la-prise-de-controle-exclusif-du-groupe-helios-par</w:t>
      </w:r>
    </w:p>
    <w:p>
      <w:r>
        <w:t>Pages translated : 2</w:t>
      </w:r>
    </w:p>
    <w:p/>
    <w:p>
      <w:r>
        <w:rPr>
          <w:b/>
        </w:rPr>
        <w:t>[Pages 1–2]</w:t>
      </w:r>
    </w:p>
    <w:p>
      <w:r>
        <w:t>FRENCH REPUBLIC</w:t>
        <w:br/>
        <w:t>Decision No. 25-DCC-246 of October 17, 2025</w:t>
        <w:br/>
        <w:t>regarding the exclusive control acquisition of the Helios group</w:t>
        <w:br/>
        <w:t>by Waterland</w:t>
        <w:br/>
        <w:t>The Competition Authority,</w:t>
        <w:br/>
        <w:t>Having regard to the complete notification file submitted to the mergers department on October 2, 2025,</w:t>
        <w:br/>
        <w:t>concerning the exclusive control acquisition of the Helios group and its subsidiaries, Maestria Signalisation</w:t>
        <w:br/>
        <w:t>and CityRoad, by WPEF IX Holdco 32, ultimately owned by Waterland Private Equity</w:t>
        <w:br/>
        <w:t>Investments, formalized by a purchase agreement dated July 29, 2025;</w:t>
        <w:br/>
        <w:t>Having regard to Book IV of the Commercial Code relating to the freedom of prices and competition, and</w:t>
        <w:br/>
        <w:t>notably its Articles L. 430-1 to L. 430-7;</w:t>
        <w:br/>
        <w:t>Having regard to the other documents in the file;</w:t>
        <w:br/>
        <w:t>Adopts the following decision:</w:t>
        <w:br/>
        <w:t>1. The notified operation consists of the exclusive control acquisition of the company Group Hélios and</w:t>
        <w:br/>
        <w:t>its subsidiaries Maestria Signalisation and CityRoad, by WPEF IX Holdco 32, ultimately owned</w:t>
        <w:br/>
        <w:t>by Waterland Private Equity Investments. The main sectors concerned by the notified operation</w:t>
        <w:br/>
        <w:t>are road signage and urban planning in France.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25-237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