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https://www.autoritedelaconcurrence.fr/fr/decision-de-controle-des-concentrations/relative-la-prise-de-controle-exclusif-du-groupe-hemeria</w:t>
      </w:r>
    </w:p>
    <w:p>
      <w:r>
        <w:t>Pages translated : 2</w:t>
      </w:r>
    </w:p>
    <w:p/>
    <w:p>
      <w:r>
        <w:rPr>
          <w:b/>
        </w:rPr>
        <w:t>[Pages 1–2]</w:t>
      </w:r>
    </w:p>
    <w:p>
      <w:r>
        <w:t xml:space="preserve">FRENCH REPUBLIC  </w:t>
        <w:br/>
        <w:t xml:space="preserve">Decision No. 26-DCC-53 of February 10, 2026  </w:t>
        <w:br/>
        <w:t xml:space="preserve">regarding the exclusive control acquisition of the Hemeria group by the Business Consolidation and Development Fund  </w:t>
        <w:br/>
        <w:t xml:space="preserve">The Competition Authority,  </w:t>
        <w:br/>
        <w:t xml:space="preserve">Having regard to the complete notification file submitted to the mergers department on January 14, 2026, concerning the exclusive control acquisition of the Hemeria group by the Business Consolidation and Development Fund, formalized by a purchase promise signed on November 25,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Business Consolidation and Development Fund, of exclusive control of the Hemeria group, active in the design and production of systems and equipment intended for the defense and space sectors.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25-349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