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https://www.autoritedelaconcurrence.fr/fr/decision-de-controle-des-concentrations/relative-la-prise-de-controle-exclusif-du-groupe-herport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25-DCC-105 of April 30, 2025  </w:t>
        <w:br/>
        <w:t xml:space="preserve">regarding the acquisition of exclusive control of the Herport group  </w:t>
        <w:br/>
        <w:t xml:space="preserve">by the company DP World Logistics FZE  </w:t>
        <w:br/>
        <w:t xml:space="preserve">The Competition Authority,  </w:t>
        <w:br/>
        <w:t xml:space="preserve">Having regard to the complete notification file submitted to the mergers department on April 9, 2025,  </w:t>
        <w:br/>
        <w:t xml:space="preserve">concerning the acquisition of exclusive control of the Herport group by the company DP World Logistics FZE,  </w:t>
        <w:br/>
        <w:t xml:space="preserve">formalized by a share transfer agreement signed on March 7,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DP World Logistics FZE of all  </w:t>
        <w:br/>
        <w:t xml:space="preserve">the shares and voting rights of the company Herport SAS, which is at the head of a  </w:t>
        <w:br/>
        <w:t xml:space="preserve">group of companies primarily active in the transport commissioning sector in France. The operation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25-097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