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https://www.autoritedelaconcurrence.fr/fr/decision-de-controle-des-concentrations/relative-la-prise-de-controle-exclusif-du-groupe-hmy-par-la</w:t>
      </w:r>
    </w:p>
    <w:p>
      <w:r>
        <w:t>Pages translated : 5</w:t>
      </w:r>
    </w:p>
    <w:p/>
    <w:p>
      <w:r>
        <w:rPr>
          <w:b/>
        </w:rPr>
        <w:t>[Pages 1–3]</w:t>
      </w:r>
    </w:p>
    <w:p>
      <w:r>
        <w:t xml:space="preserve">FRENCH REPUBLIC  </w:t>
        <w:br/>
        <w:t xml:space="preserve">Decision No. 17-DCC-69 of May 31, 2017  </w:t>
        <w:br/>
        <w:t xml:space="preserve">regarding the exclusive control of the HMY group by the company  </w:t>
        <w:br/>
        <w:t>LBO France Gestion</w:t>
      </w:r>
    </w:p>
    <w:p>
      <w:r>
        <w:t xml:space="preserve">The Competition Authority,  </w:t>
        <w:br/>
        <w:t xml:space="preserve">Having regard to the notification file submitted in full to the merger service on May 4, 2017, regarding the exclusive control of the HMY group by the company LBO France Gestion, formalized by a letter of agreement dated April 11, 2017;  </w:t>
        <w:br/>
        <w:t xml:space="preserve">Having regard to Book IV of the Commercial Code relating to the freedom of prices and competition, and in particular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LBO France Gestion SAS is a company specialized in leveraged buyout operations. It holds stakes in companies active in various economic sectors through the funds it manages. LBO France Gestion is not controlled by any of its shareholders. LBO France Gestion manages about forty investment funds, including the professional private equity funds (hereinafter "FCPI") White Knight IX and HMY Invest (currently being created for the purposes of this operation), and notably controls the IKKS group, active in the retail markets for clothing, footwear, and accessories.  </w:t>
        <w:br/>
        <w:t xml:space="preserve">2. The HMY group (hereinafter "HMY") is active in the sector of supplying furniture and accessories intended for the equipment and layout of commercial spaces across all sectors. HMY primarily manufactures and installs standardized or custom store furniture (shelving, racks, shelves, etc.). HMY is controlled by its parent company HMY International.  </w:t>
        <w:br/>
        <w:t xml:space="preserve">3. The operation consists of the acquisition by LBO France Gestion, via the FCPI White Knight IX and HMY Invest, represented by their management company LBO France Gestion SAS, of 100% of the capital and voting rights of the company HMY International. Insofar as it results in the exclusive control of the HMY group by LBO France Gestion, the notified operation constitutes a concentration within the meaning of Article L. 430-1 of the Commercial Code.  </w:t>
        <w:br/>
        <w:t>4. The companies concerned together achieve a total worldwide turnover excluding taxes of more than 150 million euros (LBO France Gestion: [...] euros for the fiscal year ending December 31, 2016; HMY: [...] euros for the same fiscal year). Each of these companies has achieved a total turnover in France exceeding 50 million euros (LBO France Gestion: [...] euros; HMY: [...] euros).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HMY is active in the sector of supplying furniture and accessories intended for the equipment and layout of commercial spaces across all sectors of activity. LBO France Gestion, for its part, controls a company active in the sectors of clothing and footwear distribution, which sources from the furniture and layout market for retail businesses.</w:t>
      </w:r>
    </w:p>
    <w:p>
      <w:r>
        <w:t xml:space="preserve">A. THE MARKETS FOR FURNITURE AND LAYOUT OF RETAIL STORES  </w:t>
        <w:br/>
        <w:t xml:space="preserve">6. Decision-making practice has considered that there are markets for the furnishing and layout of stores in which suppliers sell their products to companies operating retail stores1. It has considered that these markets are likely to be segmented based on the types of retail stores, while also contemplating, in the long term, a unification of the retail layout market.  </w:t>
        <w:br/>
        <w:t xml:space="preserve">7. According to decision-making practice, the markets for the layout of retail stores are of national dimension2. The Authority has, however, noted that different retail groups seek homogeneous furnishing and layout solutions for all stores bearing the same brand and that the main suppliers are Italian, Spanish, and German groups present not only in France but also in several other countries around the world3.  </w:t>
        <w:br/>
        <w:t xml:space="preserve">1 See in particular the decision of the Competition Council No. 06-D-16 of June 20, 2006, regarding practices implemented by the Nouvelles Messageries de la Presse Parisienne (NMPP) in the market for press distribution for single sales and related activity markets, as well as the decision of the Competition Authority No. 12-DCC-88 of June 20, 2012, regarding the exclusive control of Stokomani Holding SAS by Sagard SAS.  </w:t>
        <w:br/>
        <w:t xml:space="preserve">2 See the aforementioned decisions No. 06-D-16 and No. 12-DCC-88, as well as the decision of the Competition Authority No. 87-D-08 of April 28, 1987, regarding practices implemented by Nouvelles Messageries de la Presse Parisienne and its subsidiary Société d’Agences et de Diffusion.  </w:t>
        <w:br/>
        <w:t>3 See the aforementioned decision No. 12-DCC-88.</w:t>
      </w:r>
    </w:p>
    <w:p>
      <w:r>
        <w:t>8. The question of the exact definition of these markets can, however, be left open, as the conclusions of the competitive analysis remain unchanged regardless of the segmentation adopted.</w:t>
      </w:r>
    </w:p>
    <w:p>
      <w:r>
        <w:t xml:space="preserve">B. RETAIL CLOTHING AND FOOTWEAR MARKETS  </w:t>
        <w:br/>
        <w:t xml:space="preserve">1. SERVICE MARKETS  </w:t>
        <w:br/>
        <w:t xml:space="preserve">9. Decision-making practice4 has adopted segmentations based on (i) gender and age5 (men, women, children), (ii) product range level6 (low, medium, high-end), and (iii) distribution channel7 (specialty store, specialized large retail store ("GSS"), large food retail store ("GSA")). Furthermore, it has considered a distinction between in-store sales and distance sales8.  </w:t>
        <w:br/>
        <w:t>10. The question of the exact definition of these markets can, however, be left open insofar as, regardless of the segmentation adopted, the conclusions of the competitive analysis remain unchanged.</w:t>
      </w:r>
    </w:p>
    <w:p>
      <w:r>
        <w:t xml:space="preserve">2. GEOGRAPHICAL MARKETS  </w:t>
        <w:br/>
        <w:t xml:space="preserve">11. In the retail distribution markets for clothing and footwear, competition occurs between points of sale in catchment areas. Two criteria have been used to delimit these areas9:  </w:t>
        <w:br/>
        <w:t xml:space="preserve">- on the one hand, from the consumers' perspective, there are as many markets as there are cities where retailers likely to sell these items are located, each of these markets corresponding to the commercial attraction zone where these types of products can generally be acquired;  </w:t>
        <w:br/>
        <w:t xml:space="preserve">- on the other hand, the relevant geographical market would correspond, for GSA and GSS, to a 20-minute driving radius. This catchment area is also retained for stores located in shopping centers adjacent to GSS or GSA.  </w:t>
        <w:br/>
        <w:t xml:space="preserve">12. Furthermore, the Authority has noted the growing weight in these sectors of specialized distribution chains, consisting of networks of points of sale under a common brand, operated independently, under franchise, or in purchasing groups and present throughout the territory.  </w:t>
        <w:br/>
        <w:t xml:space="preserve">4 See in particular the decisions of the Competition Authority No. 10-DCC-139 of October 27, 2010, regarding the joint control of Maje, Sandro, Claudie Pierlot, and HF Biousse by L Capital and Florac, and No. 13-DCC-75 of July 10, 2013, regarding the control of Réservoir Team SAS by Towerbrook Capital Partners LP.  </w:t>
        <w:br/>
        <w:t xml:space="preserve">5 See in particular the letter from the Minister of Economy, Finance and Industry C2005-129 of January 31, 2006, to the advisors of Glam regarding a concentration in the ready-to-wear sector.  </w:t>
        <w:br/>
        <w:t xml:space="preserve">6 See the letter from the Minister of Economy, Finance and Industry of July 24, 2003, to the advisors of Vetir SA regarding a concentration in the clothing distribution sector.  </w:t>
        <w:br/>
        <w:t xml:space="preserve">7 See the aforementioned letter from the Minister of Economy, Finance and Industry of July 24, 2003, and the decisions No. 10-DCC-139 and No. 13-DCC-75 mentioned above.  </w:t>
        <w:br/>
        <w:t xml:space="preserve">8 See the decisions of the Competition Authority No. 10-DCC-77 of July 9, 2010, regarding the exclusive control of Afibel SAS by Damartex SA and No. 13-DCC-75 mentioned above.  </w:t>
        <w:br/>
        <w:t>9 Ibid.</w:t>
      </w:r>
    </w:p>
    <w:p>
      <w:r>
        <w:rPr>
          <w:b/>
        </w:rPr>
        <w:t>[Pages 4–5]</w:t>
      </w:r>
    </w:p>
    <w:p>
      <w:r>
        <w:t>national, or even in many countries10. It thus considered analyzing the operations concerning these types of activities in markets of national dimension.</w:t>
      </w:r>
    </w:p>
    <w:p>
      <w:r>
        <w:t>13. The decision-making practice has also retained a national dimension in view of linguistic differences, the heterogeneity of consumer habits, as well as delivery costs and times11.</w:t>
      </w:r>
    </w:p>
    <w:p>
      <w:r>
        <w:t>14. The question of the geographical delimitation of these markets can, however, be left open, as the conclusions of the competitive analysis remain unchanged regardless of the delimitation chosen.</w:t>
      </w:r>
    </w:p>
    <w:p>
      <w:r>
        <w:t>III. Competitive Analysis</w:t>
      </w:r>
    </w:p>
    <w:p>
      <w:r>
        <w:t>15. In this case, the operation is likely to produce vertical effects since LBO France Gestion, through the company IKKS, is active in the clothing and footwear distribution markets, and HMY is active upstream in the sector of supplying furniture and accessories intended for the equipment and layout of commercial spaces.</w:t>
      </w:r>
    </w:p>
    <w:p>
      <w:r>
        <w:t>16. A vertical concentration can restrict competition by making access to the markets where the new entity will be active more difficult, or even by eliminating competitors or penalizing them through an increase in their costs. This locking can target downstream markets when the integrated company refuses to sell an input to its downstream competitors. The locking strategy can also concern the products of upstream manufacturers and thus reduce their commercial outlets. However, the Authority considers that it is unlikely that a company with a market share of less than 30% in a given market could lock a downstream or upstream market12.</w:t>
      </w:r>
    </w:p>
    <w:p>
      <w:r>
        <w:t>17. In this case, HMY estimated its market share at [10-20]% in the overall market for retail furniture and layout. It faces competition from numerous groups including Club Afiroc ([5-10]%), LaFortezza ([5-10]%), Rasec Retail ([0-5]%), and Groupe Lindera ([0-5]%).</w:t>
      </w:r>
    </w:p>
    <w:p>
      <w:r>
        <w:t>18. In the segment of furniture and layout for clothing and footwear stores, HMY's market share has been estimated at [5-10]%. It is competing in this market with numerous groups, including Club Aforic ([10-20]%), Media6 ([5-10]%), and Korus ([0-5]%).</w:t>
      </w:r>
    </w:p>
    <w:p>
      <w:r>
        <w:t>19. Furthermore, IKKS's spending on furniture and layout for its stores would represent less than [0-5]% of the demand at the national level.</w:t>
      </w:r>
    </w:p>
    <w:p>
      <w:r>
        <w:t>20. Finally, in the markets for clothing and footwear distribution, the IKKS group has a market share of less than [5-10]%, regardless of the segmentation considered.</w:t>
      </w:r>
    </w:p>
    <w:p>
      <w:r>
        <w:t>21. Therefore, given the limited market shares of the parties, the operation is not likely to harm competition through vertical effects in the relevant markets.</w:t>
      </w:r>
    </w:p>
    <w:p>
      <w:r>
        <w:t>10 See decisions n° 10-DCC-139 and n° 10-DCC-159 cited above.</w:t>
      </w:r>
    </w:p>
    <w:p>
      <w:r>
        <w:t>11 See in particular decision n° 10-DCC-77 cited above.</w:t>
      </w:r>
    </w:p>
    <w:p>
      <w:r>
        <w:t>12 Guidelines of the Competition Authority regarding the control of concentrations, point 453.</w:t>
      </w:r>
    </w:p>
    <w:p>
      <w:r>
        <w:t>DECIDES</w:t>
      </w:r>
    </w:p>
    <w:p>
      <w:r>
        <w:t>Article unique: The operation notified under number 17-074 is authorized.</w:t>
      </w:r>
    </w:p>
    <w:p>
      <w:r>
        <w:t>The President,</w:t>
      </w:r>
    </w:p>
    <w:p>
      <w:r>
        <w:t>Isabelle de Silva</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