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https://www.autoritedelaconcurrence.fr/fr/decision-de-controle-des-concentrations/relative-la-prise-de-controle-exclusif-du-groupe-hoffmann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22-DCC-69 of May 6, 2022  </w:t>
        <w:br/>
        <w:t xml:space="preserve">regarding the exclusive control acquisition of the Hoffmann* SE group and  </w:t>
        <w:br/>
        <w:t xml:space="preserve">certain of its subsidiaries by SFS Group International  </w:t>
        <w:br/>
        <w:t xml:space="preserve">The Competition Authority,  </w:t>
        <w:br/>
        <w:t xml:space="preserve">Having regard to the complete notification file sent to the mergers department on April 12, 2022,  </w:t>
        <w:br/>
        <w:t xml:space="preserve">concerning the exclusive control acquisition of the Hoffmann* SE group and certain of its subsidiaries by  </w:t>
        <w:br/>
        <w:t xml:space="preserve">SFS Group International, formalized by a share transfer agreement dated  </w:t>
        <w:br/>
        <w:t xml:space="preserve">December 21,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Hoffmann* SE group and  </w:t>
        <w:br/>
        <w:t xml:space="preserve">certain of its subsidiaries by SFS Group International, both active in the  </w:t>
        <w:br/>
        <w:t xml:space="preserve">industrial supplies markets.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 xml:space="preserve">in the concerned markets.  </w:t>
        <w:br/>
        <w:t>* Correction of material error.</w:t>
      </w:r>
    </w:p>
    <w:p>
      <w:r>
        <w:t xml:space="preserve">DECIDES  </w:t>
        <w:br/>
        <w:t xml:space="preserve">Sole Article: The operation notified under number 22-044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