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https://www.autoritedelaconcurrence.fr/fr/decision-de-controle-des-concentrations/relative-la-prise-de-controle-exclusif-du-groupe-hpl-par-le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21-DCC-121 of July 15, 2021  </w:t>
        <w:br/>
        <w:t xml:space="preserve">regarding the exclusive control acquisition of the HPL group by the Vivalto Santé group  </w:t>
        <w:br/>
        <w:t xml:space="preserve">The Competition Authority,  </w:t>
        <w:br/>
        <w:t xml:space="preserve">Having regard to the complete notification file sent to the mergers department on June 22, 2021,  </w:t>
        <w:br/>
        <w:t xml:space="preserve">concerning the exclusive control acquisition of the HPL group by the Vivalto Santé group, formalized by  </w:t>
        <w:br/>
        <w:t xml:space="preserve">a purchase promise dated April 23,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HPL Services SAS,  </w:t>
        <w:br/>
        <w:t xml:space="preserve">the head company of the HPL group, by the company Vivalto Santé Investissement SA, the head company of  </w:t>
        <w:br/>
        <w:t xml:space="preserve">the Vivalto Santé group. Both groups are primarily active in the markets for the provision of  </w:t>
        <w:br/>
        <w:t xml:space="preserve">diagnostics and hospital care. The operation constitutes a concentration operation within the  </w:t>
        <w:br/>
        <w:t xml:space="preserve">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On the other hand, the control thresholds mentioned in point I of Article L. 430-2 of the  </w:t>
        <w:br/>
        <w:t xml:space="preserve">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21-116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