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https://www.autoritedelaconcurrence.fr/fr/decision-de-controle-des-concentrations/relative-la-prise-de-controle-exclusif-du-groupe-hr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22-DCC-128 of July 20, 2022  </w:t>
        <w:br/>
        <w:t xml:space="preserve">regarding the exclusive control acquisition of the HR Partners group by the  </w:t>
        <w:br/>
        <w:t xml:space="preserve">Scalian group  </w:t>
        <w:br/>
        <w:t xml:space="preserve">The Competition Authority,  </w:t>
        <w:br/>
        <w:t xml:space="preserve">Having regard to the complete notification file sent to the mergers department on July 4, 2022,  </w:t>
        <w:br/>
        <w:t xml:space="preserve">concerning the exclusive control acquisition of the company HR Partners and its subsidiaries by the company  </w:t>
        <w:br/>
        <w:t xml:space="preserve">Scalian, the parent company of the Scalian group, formalized by a reciprocal commitment dated  </w:t>
        <w:br/>
        <w:t xml:space="preserve">June 14,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HR Partners group by the  </w:t>
        <w:br/>
        <w:t xml:space="preserve">Scalian group, both active in the information technology services sector. It constitutes a  </w:t>
        <w:br/>
        <w:t xml:space="preserve">concentration operation within the meaning of Article L. 430-1 of the Commercial Code. Given the  </w:t>
        <w:br/>
        <w:t xml:space="preserve">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22-130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