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https://www.autoritedelaconcurrence.fr/fr/decision-de-controle-des-concentrations/relative-la-prise-de-controle-exclusif-du-groupe-i-run-0</w:t>
      </w:r>
    </w:p>
    <w:p>
      <w:r>
        <w:t>Pages translated : 2</w:t>
      </w:r>
    </w:p>
    <w:p/>
    <w:p>
      <w:r>
        <w:rPr>
          <w:b/>
        </w:rPr>
        <w:t>[Pages 1–2]</w:t>
      </w:r>
    </w:p>
    <w:p>
      <w:r>
        <w:t xml:space="preserve">FRENCH REPUBLIC  </w:t>
        <w:br/>
        <w:t xml:space="preserve">Decision No. 26-DCC-133 of June 11, 2026  </w:t>
        <w:br/>
        <w:t xml:space="preserve">regarding the exclusive control acquisition of the i-Run group  </w:t>
        <w:br/>
        <w:t xml:space="preserve">by the LFPI group  </w:t>
        <w:br/>
        <w:t>The Competition Authority,</w:t>
      </w:r>
    </w:p>
    <w:p>
      <w:r>
        <w:t>Having regard to the complete notification file sent to the mergers department on May 26, 2026, concerning the exclusive control acquisition of the i-Run group by the LFPI group, formalized by a unilateral purchase promise dated May 7, 2026;</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LFPI group of the i-Run group, specialized in the retail distribution of sports shoes, sports clothing, dietary food products, and small electronic equipment.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