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https://www.autoritedelaconcurrence.fr/fr/decision-de-controle-des-concentrations/relative-la-prise-de-controle-exclusif-du-groupe-icts-et-de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13-DCC-99 of July 24, 2013  </w:t>
        <w:br/>
        <w:t xml:space="preserve">regarding the exclusive control acquisition of the ICTS group and the company  </w:t>
        <w:br/>
        <w:t xml:space="preserve">Services SGA by the company Sofinord  </w:t>
        <w:br/>
        <w:t xml:space="preserve">The Competition Authority,  </w:t>
        <w:br/>
        <w:t xml:space="preserve">Having regard to the complete notification file submitted to the mergers department on June 20, 2013,  </w:t>
        <w:br/>
        <w:t xml:space="preserve">concerning the exclusive control acquisition of the ICTS group and the company Services SGA by the  </w:t>
        <w:br/>
        <w:t xml:space="preserve">company Sofinord;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ICTS group and the company  </w:t>
        <w:br/>
        <w:t xml:space="preserve">Services SGA, active in the air security sector, by the company Sofinord, active in  </w:t>
        <w:br/>
        <w:t xml:space="preserve">the field of corporate reception services and event management. It  </w:t>
        <w:br/>
        <w:t xml:space="preserve">constitutes a concentration operation within the meaning of Article L. 430-1 of the Commercial Code.  </w:t>
        <w:br/>
        <w:t xml:space="preserve">Considering the turnover achieved by the concerned companies, the operation does not  </w:t>
        <w:br/>
        <w:t xml:space="preserve">have a community dimension. On the other hand, the control thresholds mentioned in  </w:t>
        <w:br/>
        <w:t xml:space="preserve">point I of Article L. 430-2 of the Commercial Code are exceeded. This operation is  </w:t>
        <w:br/>
        <w:t xml:space="preserve">therefore 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13-101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