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https://www.autoritedelaconcurrence.fr/fr/decision-de-controle-des-concentrations/relative-la-prise-de-controle-exclusif-du-groupe-idex-et-du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18-DCC-113 of July 12, 2018  </w:t>
        <w:br/>
        <w:t xml:space="preserve">regarding the exclusive control acquisition of the Idex group and the  </w:t>
        <w:br/>
        <w:t xml:space="preserve">Taranis Energy group by the company Antin Infrastructure Partners France  </w:t>
        <w:br/>
        <w:t xml:space="preserve">Bidco SAS  </w:t>
        <w:br/>
        <w:t xml:space="preserve">The Competition Authority,  </w:t>
        <w:br/>
        <w:t xml:space="preserve">Having regard to the complete notification file submitted to the mergers department on June 13, 2018,  </w:t>
        <w:br/>
        <w:t xml:space="preserve">concerning the exclusive control acquisition of Idex SAS and Taranis Energy SAS  </w:t>
        <w:br/>
        <w:t xml:space="preserve">by Antin Infrastructure Partners France Bidco SAS, and materialized, respectively,  </w:t>
        <w:br/>
        <w:t xml:space="preserve">by a unilateral purchase promise and a commitment agreement, both dated  </w:t>
        <w:br/>
        <w:t xml:space="preserve">May 18,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Antin Infrastructure  </w:t>
        <w:br/>
        <w:t xml:space="preserve">Partners France Bidco SAS of Idex SAS and Taranis Energy SAS,  </w:t>
        <w:br/>
        <w:t xml:space="preserve">which are active in the energy sector. It constitutes a concentration operation  </w:t>
        <w:br/>
        <w:t xml:space="preserve">within the meaning of Article L. 430-1 of the Commercial Code. Given the turnover achieved  </w:t>
        <w:br/>
        <w:t xml:space="preserve">by the concerned companies, the operation does not fall under the jurisdiction of the  </w:t>
        <w:br/>
        <w:t xml:space="preserve">European Union. On the other hand, the control thresholds mentioned in point I of Article L. 430-2 of  </w:t>
        <w:br/>
        <w:t xml:space="preserve">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18-112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