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https://www.autoritedelaconcurrence.fr/fr/decision-de-controle-des-concentrations/relative-la-prise-de-controle-exclusif-du-groupe-ifmg-par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22-DCC-76 of May 6, 2022</w:t>
        <w:br/>
        <w:t>regarding the exclusive control acquisition of the IFMG group by the company</w:t>
        <w:br/>
        <w:t>Alpha Private Equity Funds Management Company</w:t>
        <w:br/>
        <w:t>The Competition Authority,</w:t>
        <w:br/>
        <w:t>Having regard to the complete notification file submitted to the mergers department on April 20, 2022,</w:t>
        <w:br/>
        <w:t>concerning the exclusive control acquisition of the company Impact Field Marketing Group, the parent company</w:t>
        <w:br/>
        <w:t>of the eponymous group (hereinafter "IFMG group"), by the company Alpha Private Equity Funds</w:t>
        <w:br/>
        <w:t>Management Company, formalized by a unilateral purchase promise dated March 25,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of the IFMG group, active in the</w:t>
        <w:br/>
        <w:t>marketing services sector, by the company Alpha Private Equity Funds Management Company. It constitutes a concentration operation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22-085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