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https://www.autoritedelaconcurrence.fr/fr/decision-de-controle-des-concentrations/relative-la-prise-de-controle-exclusif-du-groupe-imsa-par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22-DCC-175 of September 14, 2022  </w:t>
        <w:br/>
        <w:t xml:space="preserve">regarding the exclusive control acquisition of the IMSA group by the company  </w:t>
        <w:br/>
        <w:t xml:space="preserve">LS Distribution  </w:t>
        <w:br/>
        <w:t>The Competition Authority,</w:t>
      </w:r>
    </w:p>
    <w:p>
      <w:r>
        <w:t xml:space="preserve">Having regard to the complete notification file sent to the mergers department on August 26, 2022,  </w:t>
        <w:br/>
        <w:t xml:space="preserve">concerning the exclusive control acquisition of the IMSA group by the company LS Distribution, formalized  </w:t>
        <w:br/>
        <w:t>by a letter of intent dated April 11, 2022, and an amendment to the letter of intent dated June 21, 2022;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of the Innovation Mécanique  </w:t>
        <w:br/>
        <w:t xml:space="preserve">et Service Automobile (IMSA) group, active in the automotive distribution sector, by the company  </w:t>
        <w:br/>
        <w:t xml:space="preserve">LS Distribution, which is also active in the automotive distribution sector. The operation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retail control thresholds mentioned in II of Article L. 430-2 of the Commercial Code are exceeded.  </w:t>
        <w:br/>
        <w:t xml:space="preserve">The present operation is therefore subject to the provisions of Articles L. 430-3 and following of  </w:t>
        <w:br/>
        <w:t xml:space="preserve">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22-219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