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https://www.autoritedelaconcurrence.fr/fr/decision-de-controle-des-concentrations/relative-la-prise-de-controle-exclusif-du-groupe-infogene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24-DCC-39 of March 5, 2024  </w:t>
        <w:br/>
        <w:t xml:space="preserve">regarding the exclusive control acquisition of the Infogène group by the  </w:t>
        <w:br/>
        <w:t xml:space="preserve">Vulcain group  </w:t>
        <w:br/>
        <w:t xml:space="preserve">The Competition Authority,  </w:t>
        <w:br/>
        <w:t xml:space="preserve">Having regard to the complete notification file submitted to the mergers department on February 16, 2024,  </w:t>
        <w:br/>
        <w:t xml:space="preserve">concerning the exclusive control acquisition of the Infogène group by the Vulcain group, and formalized  </w:t>
        <w:br/>
        <w:t xml:space="preserve">by a unilateral promise dated December 20,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other documents in the file;  </w:t>
        <w:br/>
        <w:t xml:space="preserve">Adopts the following decision:  </w:t>
        <w:br/>
        <w:t xml:space="preserve">1. The notified transaction consists of the exclusive control acquisition by the company Engineering &amp;  </w:t>
        <w:br/>
        <w:t xml:space="preserve">Consulting Group, the parent company of the Vulcain group, of the company Finchloris and the entire  </w:t>
        <w:br/>
        <w:t xml:space="preserve">set of its subsidiaries, which are active in the digital services sector.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point I  </w:t>
        <w:br/>
        <w:t xml:space="preserve">of 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operation under number 24-010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