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https://www.autoritedelaconcurrence.fr/fr/decision-de-controle-des-concentrations/relative-la-prise-de-controle-exclusif-du-groupe-inicea-0</w:t>
      </w:r>
    </w:p>
    <w:p>
      <w:r>
        <w:t>Pages translated : 11</w:t>
      </w:r>
    </w:p>
    <w:p/>
    <w:p>
      <w:r>
        <w:rPr>
          <w:b/>
        </w:rPr>
        <w:t>[Pages 1–3]</w:t>
      </w:r>
    </w:p>
    <w:p>
      <w:r>
        <w:t>FRENCH REPUBLIC</w:t>
        <w:br/>
        <w:t>Decision No. 20-DCC-182 of December 9, 2020</w:t>
        <w:br/>
        <w:t>regarding the exclusive control of the Inicea group by the Korian company</w:t>
        <w:br/>
        <w:t>The Competition Authority,</w:t>
        <w:br/>
        <w:t>Having regard to the notification file submitted in full to the merger service on November 9, 2020,</w:t>
        <w:br/>
        <w:t>regarding the exclusive control of the Inicea group by the Korian company, formalized by a</w:t>
        <w:br/>
        <w:t>memorandum of understanding dated October 1, 2020;</w:t>
        <w:br/>
        <w:t>Having regard to Book IV of the Commercial Code relating to price freedom and competition, and</w:t>
        <w:br/>
        <w:t>notably its Articles L. 430-1 to L. 430-7;</w:t>
        <w:br/>
        <w:t>Having regard to the supplementary elements transmitted by the notifying party during the investigation;</w:t>
        <w:br/>
        <w:t>Adopts the following decision:</w:t>
        <w:br/>
        <w:t>I. The concerned companies and the operation</w:t>
        <w:br/>
        <w:t>1. The Korian company is the head of the Korian group, a European group specialized in providing care</w:t>
        <w:br/>
        <w:t>and solutions adapted to the various stages of the care pathway for elderly and fragile individuals. In France, the group operates 455 establishments divided into two distinct activities: (i) those related to the medico-social sector (i.e., nursing homes, home nursing services, service residences, and shared housing for seniors) and (ii) those related to medical care (i.e., specialized clinics for follow-up and rehabilitation care, psychiatric care, and home hospitalization). The Korian company is not controlled within the meaning of competition law.</w:t>
        <w:br/>
        <w:t>2. The Inicea group is active in the private psychiatry sector, particularly in the treatment of mood disorders, schizophrenia, anxiety-depressive disorders, and addictions. The group operates 19 establishments throughout France. The Inicea group is currently exclusively controlled by Antin Infrastructure Partners Luxembourg IX.</w:t>
        <w:br/>
        <w:t>3. Under a memorandum of understanding signed on October 1, 2020, the Korian company has committed to acquiring all the shares of the Inicea group held by Antin Infrastructure Partners Luxembourg IX.</w:t>
        <w:br/>
        <w:t>4. As it results in the exclusive control of the Inicea group by the Korian company, the notified operation constitutes a concentration within the meaning of Article L. 430-1 of the Commercial Code. The concerned companies together achieve a total worldwide turnover of more than 150 million euros (Korian: 3.6 billion euros for the fiscal year ending December 31, 2019; Inicea: [≤ 150 million] euros for the fiscal year ending December 31, 2019). Each of these companies achieves, in France, a turnover exceeding 50 million euros (Korian: 1.7 billion euros for the fiscal year ending December 31, 2019; Inicea: [≥ 50 million] euros for the fiscal year ending December 31, 2019). Given these turnovers, the operation does not have a European dimension. However, the control thresholds mentioned in I of Article L. 430-2 of the Commercial Code are exceeded. The present operation is therefore subject to the provisions of Articles L. 430-3 and following of the Commercial Code, relating to economic concentration.</w:t>
        <w:br/>
        <w:t>II. Delimitation of the relevant markets</w:t>
        <w:br/>
        <w:t>5. The parties are simultaneously active in the markets for psychiatric care (A) and follow-up and rehabilitation care (hereinafter "FRC") (B) as well as in the real estate services market (C).</w:t>
        <w:br/>
        <w:t>6. The acquirer is also active in the long-term accommodation market for autonomous and dependent elderly individuals (D)1.</w:t>
        <w:br/>
        <w:t>A. THE MARKET FOR PSYCHIATRIC CARE</w:t>
        <w:br/>
        <w:t>1. SERVICE MARKET</w:t>
        <w:br/>
        <w:t>7. The psychiatric market includes psychiatric clinics that care for patients, whether elderly or not, who present neurotic or psychotic disorders, up to the most acute forms of mental illness.</w:t>
        <w:br/>
        <w:t>8. The decisional practice has considered that the provision of psychiatric care constitutes a relevant market2.</w:t>
        <w:br/>
        <w:t>9. The competition authorities have also questioned the relevance of a segmentation between general psychiatry on the one hand, and child and adolescent psychiatry on the other3, while leaving the question open.</w:t>
        <w:br/>
        <w:t>1 The acquirer also offers home care services. However, given the nature of the care provided (home nursing care, home hospitalization, and personal assistance services) which are not intended for the care of patients with psychiatric disorders, the operation does not give rise to any vertical effects in this market.</w:t>
        <w:br/>
        <w:t>2 See the European Commission decision COMP/M.7833 of December 14, 2015, paras. 18-20 (this market definition has, however, been left open); see also the decisions of the Competition Authority No. 20-DCC-63 of April 30, 2020, regarding the exclusive control of the Sinoué group by the Orpea group, No. 20-DCC-38 of February 28, 2020, regarding the exclusive control of Hexagone Santé Méditerranée and SCI Bonnefon-Carnot by the Elsan group, and No. 17-DCC-95 of June 23, 2017, regarding the exclusive control of the MédiPôle Partenaires group by the Elsan group, para. 7.</w:t>
        <w:br/>
        <w:t>3 See the decisions of the Competition Authority No. 20-DCC-63 of April 30, 2020, regarding the exclusive control of the Sinoué group by the Orpea group and No. 10-DCC-179 of December 13, 2010, regarding the exclusive control of the Méditer and Mieux-Vivre group by the Orpea company, para. 15 and Letter from the Minister of Economy dated December 4, 2003, NOR: ECOC0400068Y, concerning the Capio Santé / Clinique des Cèdres operation (BOCCRF No. 2 of March 12, 2004). According to Article R. 3221-1 of the Public Health Code, general psychiatric care meets "the mental health needs of a population aged over 16 years" while child and adolescent psychiatric care meets the mental health needs of a population aged 0 to 16 years.</w:t>
        <w:br/>
        <w:t>2</w:t>
      </w:r>
    </w:p>
    <w:p>
      <w:r>
        <w:t>10. Recent decisional practice4 has finally considered a segmentation between private and public offerings, taking into account in particular the monopoly of public establishments in terms of involuntary hospitalization and the obligations that weigh on them regarding patient recruitment, as well as the differences in organization of care and hotel services between public and private establishments. Within the private offering, decisional practice has considered a segmentation between non-profit and for-profit establishments, particularly due to the differences in activity and regulations applicable to these two types of establishments.</w:t>
        <w:br/>
        <w:t>11. In this case, the question of the exact definition of the psychiatric care markets can nevertheless be left open, as the conclusions of the competitive analysis remain unchanged, regardless of the segmentation considered.</w:t>
        <w:br/>
        <w:t>12. Both parties are active in the market for psychiatric care provided by for-profit establishments. Furthermore, only the target offers child and adolescent psychiatric care.</w:t>
        <w:br/>
        <w:t>2. GEOGRAPHIC MARKET</w:t>
        <w:br/>
        <w:t>13. The European Commission5 considers that the markets for diagnostic and hospital care can be of a local dimension.</w:t>
        <w:br/>
        <w:t>14. The Competition Authority considers, in particular given the regulatory instruments available to the ARS, that the markets for diagnostic and hospital care can be of a local, departmental6, or regional7 dimension. Furthermore, decisional practice8 consistently considers that the Île-de-France region constitutes a unique geographic market, and that it is not relevant to distinguish between Paris intra-muros and the neighboring departments. It notes that Île-de-France is characterized by very significant patient mobility, particularly given the extensive offering of care establishments and the existence of regional, even national, attraction poles.</w:t>
        <w:br/>
        <w:t>15. In this case, the question of the exact definition of the geographic markets for psychiatric care can be left open, as the conclusions of the competitive analysis remain unchanged, regardless of the segmentation adopted.</w:t>
        <w:br/>
        <w:t>16. In the context of its competitive analysis, the Authority conducted the analysis at the regional level (new and old regions). The operation does not result in overlaps at the local and departmental level between the clinics of the Korian company and the clinics of the Inicea group.</w:t>
        <w:br/>
        <w:t>4 Decision No. 20-DCC-63 of April 30, 2020, regarding the exclusive control of the Sinoué group by the Orpea group.</w:t>
        <w:br/>
        <w:t>5 See European Commission COMP/M.7833 of December 14, 2015, COMP/M.7725 of September 29, 2015, COMP/M.7221 of April 28, 2014, COMP/M.7322 of August 4, 2014, COMP/M.7321 of August 5, 2014, and COMP/M.5805 of May 21, 2010.</w:t>
        <w:br/>
        <w:t>6 The department generally corresponds to the perimeter of the "health territories" defined by the ARS.</w:t>
        <w:br/>
        <w:t>7 See in particular the decisions of the Authority No. 20-DCC-63 of April 30, 2020, regarding the exclusive control of the Sinoué group by the Orpea group and No. 20-DCC-38 of February 28, 2020, regarding the exclusive control of Hexagone Santé Méditerranée and SCI Bonnefon-Carnot by the Elsan group.</w:t>
        <w:br/>
        <w:t>8 See the decisions of the Authority No. 17-DCC-95, para. 24, No. 15-DCC-146, para. 14, and No. 14-DCC-141, para. 14, and the letters from the Minister of Economy No. C2005-125 of January 6, 2006, and No. C2008-106 of October 22, 2008.</w:t>
      </w:r>
    </w:p>
    <w:p>
      <w:r>
        <w:rPr>
          <w:b/>
        </w:rPr>
        <w:t>[Pages 4–6]</w:t>
      </w:r>
    </w:p>
    <w:p>
      <w:r>
        <w:t>B. THE MARKET FOR FOLLOW-UP AND REHABILITATION CARE</w:t>
        <w:br/>
        <w:t>1. SERVICE MARKET</w:t>
        <w:br/>
        <w:t>17. The market for follow-up and rehabilitation care (hereinafter, "FRC") corresponds to a market for the temporary accommodation of dependent persons, particularly after surgical intervention. Therefore, FRC centers offer a wide range of care, such as post-operative functional rehabilitation, convalescence, and the treatment of long-term or chronic conditions9.</w:t>
        <w:br/>
        <w:t>18. A more detailed segmentation of FRC centers based on care specialties has been considered10.</w:t>
        <w:br/>
        <w:t>19. The question of the exact delineation of this market can nevertheless be left open, as the conclusions of the competitive analysis remain unchanged regardless of the hypothesis considered.</w:t>
        <w:br/>
        <w:t>20. In this case, both parties are present in the FRC market.</w:t>
      </w:r>
    </w:p>
    <w:p>
      <w:r>
        <w:t>2. GEOGRAPHIC MARKET</w:t>
        <w:br/>
        <w:t>21. The decisional practice, while leaving the question open, has considered an analysis of the FRC market at the regional level, as FRC centers are under the supervision of the ARS which plan their accommodation capacities11.</w:t>
        <w:br/>
        <w:t>22. The question of the exact delimitation of the FRC market can nevertheless be left open, as the conclusions of the competitive analysis remain unchanged, regardless of the delimitations adopted.</w:t>
        <w:br/>
        <w:t>23. In this case, both parties are present in the Bourgogne-Franche-Comté and Nouvelle-Aquitaine regions. Korian also offers FRC services in five other regions.</w:t>
      </w:r>
    </w:p>
    <w:p>
      <w:r>
        <w:t>C. THE MARKET FOR REAL ESTATE SERVICES</w:t>
        <w:br/>
        <w:t>1. SERVICE MARKET</w:t>
        <w:br/>
        <w:t>24. National and European competition authorities have considered, while leaving the question open, various segmentations in the real estate services sector according to (i) the recipients of the services, with properties intended either for individuals, in which case the concerned buildings are for residential use, or for businesses, in which case the concerned buildings are for commercial or professional use, (ii) the pricing method (free residential real estate and social or intermediate housing), (iii) the type of activity carried out in the premises (offices, commercial premises, and other activity premises such as warehouses or hotels) and (iv) the nature of the services or goods offered12.</w:t>
        <w:br/>
        <w:t>25. For this last segmentation, the following services have been identified:</w:t>
        <w:br/>
        <w:t>(i) real estate promotion which includes construction and sale activities of real estate;</w:t>
        <w:br/>
        <w:t>(ii) management of real estate assets for one's own account;</w:t>
        <w:br/>
        <w:t>(iii) management of real estate assets on behalf of third parties (institutional investors, mainly banks and insurance companies) which covers advice and management of real estate portfolios (arbitration and valuation of assets),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for which intermediation in purchase/sale operations is distinguished from intermediation in rental operations.</w:t>
        <w:br/>
        <w:t>26. Regarding the market for the holding and management of real estate assets on one's own account for properties used for activities other than office or commercial premises, the decisional practice has considered, while leaving the question open, a finer segmentation of the market according to the nature of the activities, concerning buildings intended for EHPADs13.</w:t>
        <w:br/>
        <w:t>27. The question of the exact delimitation of these markets can nevertheless be left open, as the conclusions of the competitive analysis remain unchanged, regardless of the delimitations adopted.</w:t>
        <w:br/>
        <w:t>28. In this case, the parties are marginally active in these markets as they provide premises to liberal doctors to enable them to carry out their activities.</w:t>
      </w:r>
    </w:p>
    <w:p>
      <w:r>
        <w:t>2. GEOGRAPHIC MARKETS</w:t>
        <w:br/>
        <w:t>29. The decisional practice14 considers that the markets for real estate services intended for individuals are of a local dimension.</w:t>
        <w:br/>
        <w:t>30. Regarding specifically the market for the holding and management of real estate assets on one's own account, competition authorities have conducted their analysis at the regional or sub-regional level.</w:t>
        <w:br/>
        <w:t>31. The question of the exact geographic delimitation of the real estate sector markets can, however, be left open, as the conclusions of the competitive analysis remain unchanged, regardless of the delimitations adopted.</w:t>
      </w:r>
    </w:p>
    <w:p>
      <w:r>
        <w:t>D. THE LONG-TERM ACCOMMODATION MARKET FOR THE ELDERLY</w:t>
        <w:br/>
        <w:t>1. SERVICE MARKET</w:t>
        <w:br/>
        <w:t>32. The decisional practice considers that the market includes (i) EHPADs, (ii) sheltered housing or service residences which are groups of permanent autonomous housing, in rooms or apartments, that offer optional collective facilities and services, with elderly persons being owners or tenants of their housing, and (iii) long-term care units ("USLD") which are medicalized structures intended for the permanent care of very dependent persons15.</w:t>
        <w:br/>
        <w:t>33. The decisional practice has deemed it not relevant to further segment this market based on the legal status of the establishment or according to the financial contribution required from the elderly person.</w:t>
        <w:br/>
        <w:t>34. However, the question of a distinct market for USLDs has been examined16, insofar as these care units do not exclusively cater to elderly persons (although they predominantly accommodate persons over 65 years old) and are intended for persons requiring medical follow-up. However, the question has been left open.</w:t>
        <w:br/>
        <w:t>35. It has been considered to segment the long-term accommodation market for elderly persons into (i) EHPADs, (ii) autonomy residences, and (iii) service residences for seniors (hereinafter "SRS"), due to the difference in the level of autonomy of the residents17.</w:t>
      </w:r>
    </w:p>
    <w:p>
      <w:r>
        <w:rPr>
          <w:b/>
        </w:rPr>
        <w:t>[Pages 7–9]</w:t>
      </w:r>
    </w:p>
    <w:p>
      <w:r>
        <w:t xml:space="preserve">36. In this case, the question of the precise delimitation of the market can nevertheless be left open, as the conclusions of the competitive analysis remain unchanged, regardless of the hypothesis adopted.  </w:t>
        <w:br/>
        <w:t xml:space="preserve">37. The parties are simultaneously active in the market for long-term care facilities (USLD). Furthermore, the acquirer also operates EHPADs.  </w:t>
        <w:br/>
        <w:t xml:space="preserve">2. GEOGRAPHIC MARKET  </w:t>
        <w:br/>
        <w:t xml:space="preserve">38. Regarding the geographic delimitation of the market for accommodation for the elderly, the decisional practice has established that throughout the territory outside the Paris region, there are markets of a departmental dimension, with the criterion for choosing the establishment being its proximity to the elderly person's home or family reference18. For the Paris region, the consideration of the entire region has been envisaged.  </w:t>
        <w:br/>
        <w:t xml:space="preserve">39. The question of the exact definition of the relevant geographic market can, however, be left open insofar as, regardless of the delimitation adopted, the conclusions of the competitive analysis remain unchanged.  </w:t>
        <w:br/>
        <w:t xml:space="preserve">40. In this case, the Inicea group is present only in Indre-et-Loire (37) where Korian is not present. Thus, the activities of the parties do not overlap at the geographic level. On the other hand, Korian is present in other French departments.  </w:t>
        <w:br/>
        <w:t xml:space="preserve">III. Competitive Analysis  </w:t>
        <w:br/>
        <w:t xml:space="preserve">A. ANALYSIS OF HORIZONTAL EFFECTS  </w:t>
        <w:br/>
        <w:t xml:space="preserve">41. The operation leads to horizontal overlaps in the markets for psychiatric care (1), follow-up and rehabilitation care (2), and real estate services (3).  </w:t>
        <w:br/>
        <w:t xml:space="preserve">1. ON THE MARKET FOR PSYCHIATRIC CARE  </w:t>
        <w:br/>
        <w:t xml:space="preserve">42. In this market, the operation results in an overlap of activities in the Auvergne-Rhône-Alpes, Grand-Est, and Nouvelle-Aquitaine regions. From the perspective of the former French administrative regions, only the Rhône-Alpes region is affected by this overlap.  </w:t>
        <w:br/>
        <w:t xml:space="preserve">43. The market shares of the parties are below 25%, regardless of the segmentation adopted and the geographic market considered, except for the segment of psychiatric care in for-profit private establishments in the new Grand-Est region.  </w:t>
        <w:br/>
        <w:t xml:space="preserve">44. In this area, the market share of the new entity will rise to [30-40]% with a market share addition of less than 2%.  </w:t>
        <w:br/>
        <w:t xml:space="preserve">45. Furthermore, the operation does not lead to overlaps at the local and departmental level between the clinics of Korian and the clinics of the Inicea group.  </w:t>
        <w:br/>
        <w:t xml:space="preserve">46. Thus, considering the principles recalled in paragraph 623 of the Authority's guidelines on the control of concentrations, and in view of the presence of significant operators at the regional level such as the health center located in Merfy (51) belonging to the Sinoué group, and the Sainte-Marguerite health center located in Novéant-sur-Moselle (57), the Authority considers that the operation is not likely to have horizontal effects in this market.  </w:t>
        <w:br/>
        <w:t xml:space="preserve">2. ON THE MARKET FOR FOLLOW-UP AND REHABILITATION CARE  </w:t>
        <w:br/>
        <w:t xml:space="preserve">47. In this market, the operation leads to an overlap of activity in the Bourgogne-Franche-Comté and Nouvelle-Aquitaine regions. From the perspective of the former French administrative regions, the overlap concerns the Bourgogne and Aquitaine regions.  </w:t>
        <w:br/>
        <w:t xml:space="preserve">48. The market shares of the parties are below 25%, regardless of the segmentation adopted and the geographic market considered.  </w:t>
        <w:br/>
        <w:t xml:space="preserve">49. Thus, the operation is not likely to have horizontal effects in this market.  </w:t>
        <w:br/>
        <w:t xml:space="preserve">3. ON THE MARKET FOR REAL ESTATE SERVICES  </w:t>
        <w:br/>
        <w:t xml:space="preserve">50. The parties provide consultation spaces for liberal doctors within their establishments. Furthermore, the Inicea group also provides [some] premises adjacent to the Vallées clinic (located in the new Auvergne-Rhône-Alpes region), which are occupied by practitioners as part of a multidisciplinary consultation center.  </w:t>
        <w:br/>
        <w:t xml:space="preserve">51. In any case, these provisions constitute a very marginal activity of the parties, and the market share of the new entity in the real estate services market will be below 5% regardless of the segmentation and geographic dimension adopted.  </w:t>
        <w:br/>
        <w:t xml:space="preserve">52. The operation is therefore not likely to have horizontal effects in this market.  </w:t>
        <w:br/>
        <w:t xml:space="preserve">B. ANALYSIS OF VERTICAL EFFECTS  </w:t>
        <w:br/>
        <w:t xml:space="preserve">53.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54. However, the decisional practice generally considers that a risk of vertical effect can be ruled out as long as the market share of the entity resulting from the operation in the relevant markets does not exceed 30%19.  </w:t>
        <w:br/>
        <w:t xml:space="preserve">55. In this case, there is a vertical link between the offer of diagnostics and hospital care of the new entity and its offer of follow-up and rehabilitation care (1) and long-term accommodation for the elderly (2)20.  </w:t>
        <w:br/>
        <w:t xml:space="preserve">19 Guidelines of the Competition Authority on the control of concentrations, point 678.  </w:t>
        <w:br/>
        <w:t xml:space="preserve">20 Given the marginal activities of the target in the follow-up and rehabilitation care market, the operation is unlikely to generate any vertical effect between the markets for follow-up and rehabilitation care and long-term accommodation for the elderly.  </w:t>
        <w:br/>
        <w:t xml:space="preserve">1. ON THE VERTICAL EFFECTS OF THE OPERATION BETWEEN THE FOLLOW-UP AND REHABILITATION CARE MARKET AND THE PSYCHIATRIC CARE MARKET  </w:t>
        <w:br/>
        <w:t xml:space="preserve">56. There is a vertical link between the offer of psychiatric care and follow-up and rehabilitation care of the new entity. Following the operation, the new entity will be active in both markets in 7 regions21 and in the departments of Gironde (33), Landes (40), Rhône (69), Haute Savoie (74), and Yvelines (78).  </w:t>
        <w:br/>
        <w:t xml:space="preserve">57. In these areas, the market shares of the new entity in the follow-up and rehabilitation care market will not exceed 30% at the departmental and regional levels. Furthermore, almost all of the acquirer's follow-up and rehabilitation care establishments have specialties that do not fall under psychiatry (neurological, locomotor, or cardiac rehabilitation pathologies). While some Korian establishments offer care that may have a link to psychiatry (for example, treatments for addictions and eating disorders), these constitute only a part of the offer provided by these establishments and concern only a limited number of patients. The vertical integration related to the transfer of patients from the follow-up and rehabilitation care of the new entity to its psychiatric clinics will therefore be marginal22.  </w:t>
        <w:br/>
        <w:t xml:space="preserve">58. In these same areas, in the market for psychiatric care, the cumulative market share of the new entity will exceed 30% in the Grand-Est and Normandy regions and in the departments of Gironde (33), Landes (40), and Haute Savoie (74)23.  </w:t>
        <w:br/>
        <w:t xml:space="preserve">59. At the local level, the parties also indicate that following the operation, the market share of the new entity will exceed 30% in the areas within 60 minutes around the Les Vallées establishment located in Ville-La-Grand (74) and the Mont de Marsan establishment located in Saint-Pierre-du-Mont (40), as well as in the areas within 30 minutes around the Les Horizons establishment in Cambes (33) and around the Maylis establishment located in Narrosse (40). However, in all of these areas, the new entity will also operate follow-up and rehabilitation care establishments.  </w:t>
        <w:br/>
        <w:t xml:space="preserve">60. Despite the presence of the new entity in both the psychiatric care and follow-up and rehabilitation care markets, and the position of the new entity in the former market, any risk of vertical foreclosure can be ruled out.  </w:t>
        <w:br/>
        <w:t xml:space="preserve">61. Firstly, the transfer rates from psychiatric establishments to follow-up and rehabilitation care are very low. Thus, it appears from the investigation that only 3% of patients receiving psychiatric care are transferred to a follow-up and rehabilitation care unit24. Specifically regarding the activities of the parties, they indicated that in 2019 the transfer rate from psychiatric establishments to the follow-up and rehabilitation care of the Korian group was below [0-5]%.  </w:t>
        <w:br/>
        <w:t xml:space="preserve">62. Secondly, as previously mentioned, among all the follow-up and rehabilitation care establishments operated by the acquirer in these areas, only 3 establishments offer a service that could,  </w:t>
        <w:br/>
        <w:t xml:space="preserve">21 Auvergne-Rhône Alpes, Bourgogne-Franche-Comté, Centre-Val-de-Loire, Grand Est, Ile de France, Normandie, and Nouvelle Aquitaine.  </w:t>
        <w:br/>
        <w:t xml:space="preserve">22 The target operates only one follow-up and rehabilitation care establishment in this area that may offer care with a potential link to psychiatry. This structure offers only 16 beds, exclusively dedicated to addiction treatment. Consequently, this vertical link, which preexists the operation, is not likely to undermine the conclusion that the new entity will not be able to use its position in the follow-up and rehabilitation care market to develop in the psychiatric care market.  </w:t>
        <w:br/>
        <w:t xml:space="preserve">23 The market shares referred to here have been calculated on the market encompassing general psychiatry and child and adolescent psychiatry activities. For the record, only the target is marginally active in the child and adolescent psychiatry segment. In any case, given the reasoning developed in points 59 and 60, the conclusions of the competitive analysis would remain unchanged even if these market shares were calculated on the finer segments of child and adolescent psychiatry on the one hand, and general psychiatry on the other.  </w:t>
        <w:br/>
        <w:t>24 Data from the Directorate for Research, Studies, Evaluation, and Statistics, https://drees.solidarites-sante.gouv.fr/IMG/pdf/es2019.pdf.</w:t>
      </w:r>
    </w:p>
    <w:p>
      <w:r>
        <w:rPr>
          <w:b/>
        </w:rPr>
        <w:t>[Pages 10–11]</w:t>
      </w:r>
    </w:p>
    <w:p>
      <w:r>
        <w:t xml:space="preserve">partly, have a link to psychiatry so that the establishments of the acquirer would not constitute a sufficient outlet for the psychiatric clinics of the new entity.  </w:t>
        <w:br/>
        <w:t xml:space="preserve">63. Given all these elements, any risk of vertical effect resulting from the operation between the markets for psychiatric care and follow-up and rehabilitation care can be ruled out.  </w:t>
        <w:br/>
        <w:t xml:space="preserve">2. ON THE VERTICAL EFFECTS OF THE OPERATION BETWEEN THE LONG-TERM ACCOMMODATION MARKET FOR THE ELDERLY AND THE MARKET FOR PSYCHIATRIC CARE  </w:t>
        <w:br/>
        <w:t xml:space="preserve">64. A vertical link between the psychiatric care offered by the parties and the accommodation services for the elderly provided by Korian cannot be excluded.  </w:t>
        <w:br/>
        <w:t xml:space="preserve">65. However, in the long-term accommodation market for the elderly, the parties indicate that the combined market shares of the new entity will not exceed 30%, regardless of the geographic dimension considered.  </w:t>
        <w:br/>
        <w:t xml:space="preserve">66. Furthermore, to the extent that the proportion of patients leaving psychiatric establishments entering EHPADs is limited (less than 1% for patients over 70 years old, and less than 13% for patients under 70 years old)25, the new entity would not be able to use its position in the psychiatric care market to lock in access to the long-term accommodation market for the elderly.  </w:t>
        <w:br/>
        <w:t xml:space="preserve">67. Therefore, any risk of vertical effect between these two markets can be ruled out.  </w:t>
        <w:br/>
        <w:t>25 https://drees.solidarites-sante.gouv.fr/IMG/pdf/er1015.pdf; page 6</w:t>
      </w:r>
    </w:p>
    <w:p>
      <w:r>
        <w:t xml:space="preserve">DECIDES  </w:t>
        <w:br/>
        <w:t xml:space="preserve">Sole Article: The operation notified under number 20-206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