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https://www.autoritedelaconcurrence.fr/fr/decision-de-controle-des-concentrations/relative-la-prise-de-controle-exclusif-du-groupe-inicea-par</w:t>
      </w:r>
    </w:p>
    <w:p>
      <w:r>
        <w:t>Pages translated : 2</w:t>
      </w:r>
    </w:p>
    <w:p/>
    <w:p>
      <w:r>
        <w:rPr>
          <w:b/>
        </w:rPr>
        <w:t>[Pages 1–2]</w:t>
      </w:r>
    </w:p>
    <w:p>
      <w:r>
        <w:t xml:space="preserve">FRENCH REPUBLIC  </w:t>
        <w:br/>
        <w:t xml:space="preserve">Decision No. 16-DCC-72 of May 17, 2016  </w:t>
        <w:br/>
        <w:t xml:space="preserve">regarding the exclusive control acquisition of the Inicea group by Antin Infrastructure Partners  </w:t>
        <w:br/>
        <w:t xml:space="preserve">The Competition Authority,  </w:t>
        <w:br/>
        <w:t xml:space="preserve">Having regard to the complete notification file submitted to the mergers department on April 11, 2016, concerning the exclusive control acquisition of the Inicea group by Antin Infrastructure Partners, formalized by a transfer protocol dated April 8, 2016;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the Inicea group, active in the sectors of psychiatric care services and the long-term accommodation market for elderly individuals by Antin Infrastructure Partners. This operation constitutes a concentration within the meaning of Article L. 430-1 of the Commercial Code. Given the turnover achieved by the concerned companies, the operation does not fall under the jurisdiction of the European Union. However, the control thresholds mentioned in point I of Article L. 430-2 of the Commercial Code are exceeded. Therefore, this operation is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16-047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