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https://www.autoritedelaconcurrence.fr/fr/decision-de-controle-des-concentrations/relative-la-prise-de-controle-exclusif-du-groupe-inseec-par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13-DCC-160 of November 12, 2013  </w:t>
        <w:br/>
        <w:t xml:space="preserve">regarding the exclusive control acquisition of the INSEEC group by  </w:t>
        <w:br/>
        <w:t xml:space="preserve">Apax Partners MidMarket SAS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October 21, 2013, concerning the exclusive control acquisition of the INSEEC group by Apax  </w:t>
        <w:br/>
        <w:t xml:space="preserve">Partners MidMarket SAS, materialized by a draft Share Purchase Agreement dated  </w:t>
        <w:br/>
        <w:t xml:space="preserve">October 4,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INSEEC group, active in the  </w:t>
        <w:br/>
        <w:t xml:space="preserve">private higher education and continuing vocational training sector, by the portfolio management company Apax Partners MidMarket SAS. It constitutes a concentration operation within the meaning of Article L. 430-1 of the Commercial Code. Given the turnover achieved by the concerned companies, the operation does not have a community dimension. On the other hand,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13-184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