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https://www.autoritedelaconcurrence.fr/fr/decision-de-controle-des-concentrations/relative-la-prise-de-controle-exclusif-du-groupe-ip-sante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15-DCC-94 of July 21, 2015  </w:t>
        <w:br/>
        <w:t xml:space="preserve">regarding the exclusive control of the IP Santé group by the company  </w:t>
        <w:br/>
        <w:t xml:space="preserve">HLD  </w:t>
        <w:br/>
        <w:t xml:space="preserve">The Competition Authority,  </w:t>
        <w:br/>
        <w:t xml:space="preserve">Having regard to the complete notification file sent to the mergers department on June 30, 2015  </w:t>
        <w:br/>
        <w:t xml:space="preserve">regarding the exclusive control of the IP Santé group by the company HLD via the company  </w:t>
        <w:br/>
        <w:t xml:space="preserve">Santé Cie, materialized by the signing of the share acquisition agreement dated June 22,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of the IP Santé group, active in the  </w:t>
        <w:br/>
        <w:t xml:space="preserve">provision of home health care services, by the company HLD, ultimately controlled by Messrs. Jean-Bernard Lafonta and Jean-Philippe Hecketsweiler, active in various  </w:t>
        <w:br/>
        <w:t xml:space="preserve">sectors of activity unrelated to the target. It constitutes a concentration operation within  </w:t>
        <w:br/>
        <w:t xml:space="preserve">the meaning of Article L. 430-1 of the Commercial Code. Given the turnover achieved  </w:t>
        <w:br/>
        <w:t xml:space="preserve">by the companies concerned, the operation does not fall under the jurisdiction of the European  </w:t>
        <w:br/>
        <w:t xml:space="preserve">Union. On the other hand, the control thresholds related to concentration operations  </w:t>
        <w:br/>
        <w:t xml:space="preserve">mentioned in point I of Article L. 430-2 of the Commercial Code are exceeded. The present  </w:t>
        <w:br/>
        <w:t xml:space="preserve">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notified operation under number 15-100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