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https://www.autoritedelaconcurrence.fr/fr/decision-de-controle-des-concentrations/relative-la-prise-de-controle-exclusif-du-groupe-ital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24-DCC-66 of April 17, 2024  </w:t>
        <w:br/>
        <w:t xml:space="preserve">regarding the exclusive control acquisition of the Ital Express group by  </w:t>
        <w:br/>
        <w:t>Naxicap Partners</w:t>
      </w:r>
    </w:p>
    <w:p>
      <w:r>
        <w:t>The Competition Authority,</w:t>
      </w:r>
    </w:p>
    <w:p>
      <w:r>
        <w:t xml:space="preserve">Having regard to the complete notification file submitted to the mergers department on March 29, 2024,  </w:t>
        <w:br/>
        <w:t xml:space="preserve">concerning the exclusive control acquisition of the Ital Express group by Naxicap Partners, formalized  </w:t>
        <w:br/>
        <w:t>by a share transfer agreement dated February 16, 2024;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additional elements provided by the notifying party during the investigation;</w:t>
      </w:r>
    </w:p>
    <w:p>
      <w:r>
        <w:t>Adopts the following decision:</w:t>
      </w:r>
    </w:p>
    <w:p>
      <w:r>
        <w:t>1. The notified operation consists of the exclusive control acquisition by Naxicap Partners of the Ital Express group, which operates a wholesale distribution activity of spare parts for industrial and utility vehicles, agricultural machinery, gardening equipment, and forestry tools, as well as equipment and tools intended for garages.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This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24-066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