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https://www.autoritedelaconcurrence.fr/fr/decision-de-controle-des-concentrations/relative-la-prise-de-controle-exclusif-du-groupe-ithaque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25-DCC-179 of July 29, 2025  </w:t>
        <w:br/>
        <w:t xml:space="preserve">regarding the exclusive control acquisition of the Ithaque group by the company  </w:t>
        <w:br/>
        <w:t>GSF Groupe Services France</w:t>
      </w:r>
    </w:p>
    <w:p>
      <w:r>
        <w:t>The Competition Authority,</w:t>
      </w:r>
    </w:p>
    <w:p>
      <w:r>
        <w:t xml:space="preserve">Having regard to the complete notification file submitted to the mergers department on July 3, 2025,  </w:t>
        <w:br/>
        <w:t xml:space="preserve">concerning the exclusive control acquisition of the company Ithaque Investissements SAS and its subsidiaries  </w:t>
        <w:br/>
        <w:t>by the company GSF Groupe Services France, formalized by a purchase promise dated July 2,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>Adopts the following decision:</w:t>
      </w:r>
    </w:p>
    <w:p>
      <w:r>
        <w:t xml:space="preserve">1. The notified operation consists of the exclusive control acquisition of the company Ithaque  </w:t>
        <w:br/>
        <w:t xml:space="preserve">Investissements SAS and its subsidiaries by the company GSF Groupe Services France, which is  </w:t>
        <w:br/>
        <w:t xml:space="preserve">controlled by the company TowerBrook Capital Partners L.P. The relevant sectors are those of  </w:t>
        <w:br/>
        <w:t xml:space="preserve">industrial cleaning and the technical and administrative management of real estate complexes.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25-174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