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https://www.autoritedelaconcurrence.fr/fr/decision-de-controle-des-concentrations/relative-la-prise-de-controle-exclusif-du-groupe-jean</w:t>
      </w:r>
    </w:p>
    <w:p>
      <w:r>
        <w:t>Pages translated : 2</w:t>
      </w:r>
    </w:p>
    <w:p/>
    <w:p>
      <w:r>
        <w:rPr>
          <w:b/>
        </w:rPr>
        <w:t>[Pages 1–2]</w:t>
      </w:r>
    </w:p>
    <w:p>
      <w:r>
        <w:t>REPUBLIC OF FRANCE</w:t>
        <w:br/>
        <w:t>Decision No. 22-DCC-240 of December 9, 2022</w:t>
        <w:br/>
        <w:t>regarding the exclusive control acquisition of the Jean Jaurès Expansion group and the Récup’44 group by Hivest Capital Partners</w:t>
        <w:br/>
        <w:t>The Competition Authority,</w:t>
        <w:br/>
        <w:t>Having regard to the complete notification file submitted to the mergers department on November 14, 2022, concerning the exclusive control acquisition of the Jean Jaurès Expansion group and the Récup’44 group by Hivest Capital Partners, formalized by a letter of agreement dated November 11, 2022;</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control acquisition by Hivest Capital Partners of the Jean Jaurès Expansion group, active in the sectors of vehicle breakdown and towing services and impound services, and of the Récup’44 group, active in the sectors of the recovery of end-of-life vehicles, reconditioning and distribution of automotive spare parts, and vehicle maintenance.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22-291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