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https://www.autoritedelaconcurrence.fr/fr/decision-de-controle-des-concentrations/relative-la-prise-de-controle-exclusif-du-groupe-joa-par-la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17-DCC-149 of September 12, 2017  </w:t>
        <w:br/>
        <w:t xml:space="preserve">regarding the exclusive control acquisition of the Joa group by The Blackstone Group L.P.  </w:t>
        <w:br/>
        <w:t xml:space="preserve">The Competition Authority,  </w:t>
        <w:br/>
        <w:t xml:space="preserve">Having regard to the complete notification file sent to the mergers department on August 24, 2017,  </w:t>
        <w:br/>
        <w:t xml:space="preserve">concerning the exclusive control acquisition of the JOA group by The Blackstone Group L.P.,  </w:t>
        <w:br/>
        <w:t xml:space="preserve">formalized by a sale option dated July 7, 2017;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Blackstone  </w:t>
        <w:br/>
        <w:t xml:space="preserve">Group L.P. of the JOA group, which is active in the casino operation sector. It  </w:t>
        <w:br/>
        <w:t xml:space="preserve">constitutes a concentration operation within the meaning of Article L. 430-1 of the Commercial Code.  </w:t>
        <w:br/>
        <w:t xml:space="preserve">Given the turnover achieved by the concerned companies, the operation does not fall  </w:t>
        <w:br/>
        <w:t xml:space="preserve">under the jurisdiction of the European Union. On the other hand, the control thresholds mentioned  </w:t>
        <w:br/>
        <w:t xml:space="preserve">in point I of Article L. 430-2 of the Commercial Code are exceeded. This operation is  </w:t>
        <w:br/>
        <w:t xml:space="preserve">therefore subject 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competition  </w:t>
        <w:br/>
        <w:t>in the concerned markets.</w:t>
      </w:r>
    </w:p>
    <w:p>
      <w:r>
        <w:t xml:space="preserve">DECIDES  </w:t>
        <w:br/>
        <w:t xml:space="preserve">Sole Article: The operation notified under number 17-147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