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https://www.autoritedelaconcurrence.fr/fr/decision-de-controle-des-concentrations/relative-la-prise-de-controle-exclusif-du-groupe-jott-par</w:t>
      </w:r>
    </w:p>
    <w:p>
      <w:r>
        <w:t>Pages translated : 2</w:t>
      </w:r>
    </w:p>
    <w:p/>
    <w:p>
      <w:r>
        <w:rPr>
          <w:b/>
        </w:rPr>
        <w:t>[Pages 1–2]</w:t>
      </w:r>
    </w:p>
    <w:p>
      <w:r>
        <w:t xml:space="preserve">FRENCH REPUBLIC  </w:t>
        <w:br/>
        <w:t xml:space="preserve">Decision No. 21-DCC-09 of January 19, 2021  </w:t>
        <w:br/>
        <w:t xml:space="preserve">regarding the exclusive control acquisition of the Jott group by L Catterton Europe  </w:t>
        <w:br/>
        <w:t xml:space="preserve">The Competition Authority,  </w:t>
        <w:br/>
        <w:t xml:space="preserve">Having regard to the complete notification file sent to the mergers department on December 22, 2020, concerning the exclusive control acquisition of the Jott group by L Catterton Europe, formalized by an investment and transfer agreement dated December 13, 2020;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by L Catterton Europe of the Jott group, primarily active in the retail sector of clothing, accessories, and shoes for women, men, and children. It constitutes a concentration operation within the meaning of Article L. 430-1 of the Commercial Code. Given the revenues generated by the concerned companies,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20-257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