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https://www.autoritedelaconcurrence.fr/fr/decision-de-controle-des-concentrations/relative-la-prise-de-controle-exclusif-du-groupe-keesing</w:t>
      </w:r>
    </w:p>
    <w:p>
      <w:r>
        <w:t>Pages translated : 2</w:t>
      </w:r>
    </w:p>
    <w:p/>
    <w:p>
      <w:r>
        <w:rPr>
          <w:b/>
        </w:rPr>
        <w:t>[Pages 1–2]</w:t>
      </w:r>
    </w:p>
    <w:p>
      <w:r>
        <w:t xml:space="preserve">FRENCH REPUBLIC  </w:t>
        <w:br/>
        <w:t xml:space="preserve">Decision No. 21-DCC-03 of January 8, 2021  </w:t>
        <w:br/>
        <w:t xml:space="preserve">regarding the exclusive control acquisition of the Keesing group by the company  </w:t>
        <w:br/>
        <w:t xml:space="preserve">BC Partners  </w:t>
        <w:br/>
        <w:t xml:space="preserve">The Competition Authority,  </w:t>
        <w:br/>
        <w:t xml:space="preserve">Having regard to the complete notification file submitted to the mergers department on December 16,  </w:t>
        <w:br/>
        <w:t xml:space="preserve">2020, concerning the exclusive control acquisition of the Keesing group and its subsidiaries by the company  </w:t>
        <w:br/>
        <w:t xml:space="preserve">BC Partners, formalized by a share transfer agreement dated November 12, 2020;  </w:t>
        <w:br/>
        <w:t xml:space="preserve">Having regard to Book IV of the Commercial Code relating to the freedom of prices and competition, and  </w:t>
        <w:br/>
        <w:t xml:space="preserve">notably its Articles L. 430-1 to L. 430-7;  </w:t>
        <w:br/>
        <w:t xml:space="preserve">Having regard to the elements provided by the notifying party during the investigation;  </w:t>
        <w:br/>
        <w:t xml:space="preserve">Adopts the following decision:  </w:t>
        <w:br/>
        <w:t xml:space="preserve">1. The notified operation consists of the exclusive control acquisition by the company BC Partners of the  </w:t>
        <w:br/>
        <w:t xml:space="preserve">Keesing group and its subsidiaries, primarily active in the field of publishing brain games. It constitutes a concentration operation within the meaning of Article L. 430-1 of the Commercial Code. Given the revenues generated by the concerned companies,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20-241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