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https://www.autoritedelaconcurrence.fr/fr/decision-de-controle-des-concentrations/relative-la-prise-de-controle-exclusif-du-groupe-keolis-par</w:t>
      </w:r>
    </w:p>
    <w:p>
      <w:r>
        <w:t>Pages translated : 15</w:t>
      </w:r>
    </w:p>
    <w:p/>
    <w:p>
      <w:r>
        <w:rPr>
          <w:b/>
        </w:rPr>
        <w:t>[Pages 1–3]</w:t>
      </w:r>
    </w:p>
    <w:p>
      <w:r>
        <w:t xml:space="preserve">FRENCH REPUBLIC  </w:t>
        <w:br/>
        <w:t xml:space="preserve">Decision No. 12-DCC-129 of September 5, 2012  </w:t>
        <w:br/>
        <w:t xml:space="preserve">regarding the exclusive control of the Keolis group by the  </w:t>
        <w:br/>
        <w:t>company SNCF-Participations</w:t>
      </w:r>
    </w:p>
    <w:p>
      <w:r>
        <w:t xml:space="preserve">The Competition Authority,  </w:t>
        <w:br/>
        <w:t xml:space="preserve">Having regard to the request for referral submitted on June 25, 2012, by SNCF-Participations and the referral decision of the European Commission dated July 23, 2012, made pursuant to Article 4, paragraph 4 of Council Regulation (EC) No 139/2004;  </w:t>
        <w:br/>
        <w:t xml:space="preserve">Having regard to the complete notification file sent to the concentrations service on July 30, 2012, regarding the exclusive control of the Keolis group by the company SNCF-Participations (hereinafter "SNCF-P"), formalized by a partnership protocol concluded between SNCF-P and the Caisse de Dépôt et Placement du Québec (hereinafter "CDPQ") on May 31, 2012;  </w:t>
        <w:br/>
        <w:t xml:space="preserve">Having regard to Book IV of the Commercial Code relating to price freedom and competition, and in particular Articles L. 430-1 to L. 430-7;  </w:t>
        <w:br/>
        <w:t>Adopts the following decision:</w:t>
      </w:r>
    </w:p>
    <w:p>
      <w:r>
        <w:t xml:space="preserve">I. The concerned companies and the operation  </w:t>
        <w:br/>
        <w:t xml:space="preserve">1. SNCF-P is a company whose capital is 99.97% owned by the Société Nationale des Chemins de Fer ("SNCF"), the parent company of the SNCF group. This group is organized around five business branches: the SNCF Voyages and SNCF Proximités branches dedicated to passenger transport, the SNCF Infra branch (expertise and engineering in transport), the Gares et Connexions branch (operation and development of the 3,000 French stations), and the Geodis branch, which includes, in particular, freight transport services. The passenger transport, more specifically concerned by this operation, includes the following activities:  </w:t>
        <w:br/>
        <w:t xml:space="preserve">- international rail passenger transport between France and various European countries via Thalys, Eurostar, Artésia, Elipsos, Lyria, and Alleo trains;  </w:t>
        <w:br/>
        <w:t xml:space="preserve">- national long-distance rail passenger transport between different French cities via TGV, Corail-Teoz, and Lunéa trains;  </w:t>
        <w:br/>
        <w:t xml:space="preserve">- medium-distance rail passenger transport intended to connect medium-sized French cities via Corail Intercités trains;  </w:t>
        <w:br/>
        <w:t>- contracted rail transport services that include TER (Trains Express Régionaux), the suburban train network operated by SNCF in Ile-de-France (Transilien), and the Corsican Railways.</w:t>
      </w:r>
    </w:p>
    <w:p>
      <w:r>
        <w:t>2. The Keolis group is currently under the joint control of the company Kebexa (which is itself exclusively controlled by CDPQ1) and SNCF-P2. Since 2010, it has been composed of the company Keolis and the company Effia. Keolis offers public urban and interurban passenger transport services in France3. This company also engages in transport-related activities such as consulting, bicycle rental, management of bus stations and park-and-ride facilities. It conducts all its activities under public service delegations or public contracts awarded by local authorities following calls for tenders. The company Effia, through its various subsidiaries (Effia Concessions, Effia Stationnement, Effia Synergies, Effia Transport, Effia Mobilité Territoires Intermodalité, Canal TP, and Effia Services) offers various services aimed at facilitating passenger mobility (parking solutions, assistance in managing customer relations, assistance in multimodal transport offers, etc.) as well as service provisions to local authorities and transport operators (quality control of public transport operators, management of transport offers, multimodal passenger information, ticketing, and bicycle park management).</w:t>
      </w:r>
    </w:p>
    <w:p>
      <w:r>
        <w:t>3. Under the partnership protocol concluded on May 31, 2012, between SNCF-P and CDPQ, several operations will be carried out consisting of the exit of the capital of the companies Kebexa and Groupe Keolis from shareholders other than SNCF-P and CDPQ4. Following these operations, SNCF-P will hold 69.7% of the capital of the Keolis group, CDPQ 30%, with the remainder held by an FCPE (0.3%). Furthermore, in accordance with the proposed shareholders' agreement concluded between SNCF-P and CDPQ, SNCF-P will be able to exercise alone a decisive influence on the strategic decisions of the Keolis group. [Confidential]. However, certain decisions will be made by qualified majority. These concern in particular [confidential]. However, given the specified thresholds and the nature of the activities of the Keolis group, it appears that these veto rights do not go beyond the protection of CDPQ's financial interests as a minority investor.</w:t>
      </w:r>
    </w:p>
    <w:p>
      <w:r>
        <w:t>4. Thus, following the operation, SNCF-P will have exclusive control of the Keolis group. As it results in the transition from joint control to exclusive control over the Keolis group, the notified operation constitutes a concentration operation within the meaning of Article L. 430-1 of the Commercial Code.</w:t>
      </w:r>
    </w:p>
    <w:p>
      <w:r>
        <w:t xml:space="preserve">5. This operation is of Community dimension pursuant to Article 1, paragraph 2 of Council Regulation (EC) No 139/2004 on concentrations. Indeed, the concerned companies have achieved a consolidated worldwide turnover exceeding 5 billion euros (SNCF: 28.2 billion euros for the fiscal year ending December 31, 2011; Keolis: 4.4 billion euros for the same fiscal year). Furthermore, each  </w:t>
        <w:br/>
        <w:t xml:space="preserve">1 The company Kebexa is 50% owned by CDPQ, 43.6% by AXA PE, and 6.4% by Pragma.  </w:t>
        <w:br/>
        <w:t xml:space="preserve">2 SNCF-P holds 56.5% of the capital, Kebexa 40.7%, with the remainder held by Keos Management (2.3%) and marginally by an FCPE and individuals.  </w:t>
        <w:br/>
        <w:t xml:space="preserve">3 Keolis is also present in Sweden, Denmark, Belgium, the United Kingdom, Germany, and Portugal in the passenger road and rail transport sector.  </w:t>
        <w:br/>
        <w:t>4 These operations consist precisely of: the transfer to SNCF-P by AXA and Pragma of their shares in Kebexa; the buyback by Kebexa of shares of Keos Management and Groupe Keolis held by the managers; the acquisition by CDPQ of Kebexa shares and the capital increase subscription of Kebexa; the merger by absorption of Keos Management by Groupe Keolis; the merger by absorption of Kebexa by Groupe Keolis.</w:t>
      </w:r>
    </w:p>
    <w:p>
      <w:r>
        <w:t>one of them achieved a turnover in the Union exceeding 250 million euros (SNCF: 26.5 billion euros for the fiscal year ending December 31, 2011; Keolis: 4 billion euros for the same fiscal year). Finally, only SNCF achieved more than two-thirds of its Community turnover in a single Member State (in France).</w:t>
      </w:r>
    </w:p>
    <w:p>
      <w:r>
        <w:t>6. However, on June 25, 2012, SNCF requested the European Commission, by means of a reasoned submission, to refer the entire operation to the Competition Authority, pursuant to Article 4, paragraph 4 of Council Regulation (EC) No 139/2004. By a decision dated July 23, 2012, the European Commission considered that the conditions for referral were met.</w:t>
      </w:r>
    </w:p>
    <w:p>
      <w:r>
        <w:t>7. The exclusive control of Keolis by SNCF is therefore subject, pursuant to point IV of Article L. 430-2 of the Commercial Code, to the provisions of Articles L. 430-3 and following of the Commercial Code relating to economic concentration.</w:t>
      </w:r>
    </w:p>
    <w:p>
      <w:r>
        <w:t xml:space="preserve">II. Definition of the relevant markets  </w:t>
        <w:br/>
        <w:t xml:space="preserve">A. THE SERVICE MARKETS  </w:t>
        <w:br/>
        <w:t>8. The contemplated operation primarily concerns the French public passenger transport markets. The Keolis group (including Effia) also develops ancillary activities related to public transport such as the management of parking lots and bus stations, consulting in public road transport, the provision of ticketing and transport information systems, and finally the auditing of public road transport operators. These activities do not have a connection with the SNCF's rail activities and are therefore not directly concerned in the examination of the present operation, the effects related to the merger between the activities of Effia and Keolis having been examined by the Competition Authority in 20105. However, in its referral decision, the Commission considers that the operation could affect competition in the public passenger transport markets through conglomerate effects between these markets and that of auditing road transport operators, effects highlighted in 2010 and which were subject to commitments, as it "cannot exclude that the mandatory nature of these commitments may be challenged by a duly authorized acquisition of exclusive control of Groupe Keolis by SNCF-P"6. Therefore, the market for auditing public transport operators will be considered as concerned.</w:t>
      </w:r>
    </w:p>
    <w:p>
      <w:r>
        <w:t xml:space="preserve">9. Across all the markets affected by the operation, competition occurs between operators when responding to calls for tenders launched by the organizing authorities in their geographical area of competence. Consequently, the Competition Authority considers that these markets should be analyzed at the time of the award of these services7.  </w:t>
        <w:br/>
        <w:t xml:space="preserve">5 Decision of the Competition Authority No. 10-DCC-02 of January 12, 2010.  </w:t>
        <w:br/>
        <w:t xml:space="preserve">6 See the referral decision of the European Commission dated July 23, 2012, paragraph 26.  </w:t>
        <w:br/>
        <w:t>7 Decisions of the Competition Authority No. 10-DCC-02 of January 12, 2010, regarding the joint control of the companies Keolis and Effia by the companies SNCF-Participations and Caisse de Dépôt et de Placement du Québec; No. 10-DCC-83 of July 27, 2010, regarding the exclusive control of certain assets of the Transdev and Veolia Transport groups by the RATP group; No. 10-DCC-198 of December 30, 2010, regarding the creation of a joint venture by Veolia Environnement and the Caisse des Dépôts et Consignations.</w:t>
      </w:r>
    </w:p>
    <w:p>
      <w:r>
        <w:rPr>
          <w:b/>
        </w:rPr>
        <w:t>[Pages 4–6]</w:t>
      </w:r>
    </w:p>
    <w:p>
      <w:r>
        <w:t>10. Regarding public passenger transport, the LOTI establishes the general principles for the organization of public transport services in France, with the exception of Ile-de-France. In this framework, municipalities and their groupings are responsible for organizing urban passenger transport, departments for interurban passenger transport, excluding regional or national interest links, and regions for regular non-urban road services of regional interest.</w:t>
      </w:r>
    </w:p>
    <w:p>
      <w:r>
        <w:t>11. For all road services, the LOTI provides that the execution of the service can be ensured either by a public entity or by a company that has entered into a fixed-term agreement with the organizing authority (public service delegation or public contract). In the case of a public service delegation, a tendering procedure is mandatory in accordance with the provisions of Law No. 93-122 of January 29, 1993, as amended, relating to the prevention and transparency of economic life and public procedures, known as the Sapin Law. In the case of a public contract, a tender is also mandatory in accordance with the Public Procurement Code.</w:t>
      </w:r>
    </w:p>
    <w:p>
      <w:r>
        <w:t>12. In the specific case of Ile-de-France, the ordinance of 1959 relating to the organization of passenger transport in Ile-de-France8 ("the 1959 ordinance") establishes, for this region, a single organizing authority, the Syndicat des Transports d'Ile-de-France, or "STIF", bringing together the State and the relevant local authorities.</w:t>
      </w:r>
    </w:p>
    <w:p>
      <w:r>
        <w:t>13. Given the substantial differences in legislative and regulatory regimes (which have a direct impact on the organization of public transport) as well as differences in the materials used, the Competition Authority considers that it is appropriate to distinguish between public passenger transport in Ile-de-France and public passenger transport outside Ile-de-France.</w:t>
      </w:r>
    </w:p>
    <w:p>
      <w:r>
        <w:t>1. THE PUBLIC PASSENGER TRANSPORT MARKET IN ILE-DE-FRANCE</w:t>
      </w:r>
    </w:p>
    <w:p>
      <w:r>
        <w:t>14. As the Authority has recalled in several decisions9, the public passenger transport market in Ile-de-France has a very specific organization. Indeed, the LOTI is not applicable there, and the region has a specific legislative framework set by the 1959 ordinance. First, public transport in Ile-de-France is organized by the STIF, a local public establishment with administrative character, which exercises its prerogatives on behalf of the Ile-de-France region, the city of Paris, and the departments of Hauts-de-Seine, Essonne, Yvelines, Val-d’Oise, and Seine-et-Marne. Furthermore, the STIF is subject to a legal regime that exempts it from putting road operators in competition for the operation of regular passenger transport services: it simply registers a carrier in the transport plan, which grants the latter an exclusive multi-year operating right. However, Article 5 of Law No. 2009-1503 of December 8, 2009, relating to the organization and regulation of rail transport and containing various provisions relating to transport, amended the 1959 ordinance. It specifies that new public transport contracts, entering into force from December 3, 2009, must be concluded in accordance with the LOTI. Ongoing contracts continue under the rules applicable before December 3, 2009, until January 1, 2025, for road transport services, until January 1, 2030, for tram transport services, and until January 1, 2040, for metro transport services. Regarding rail transport, it is SNCF that operates most of the Réseau Express Régional as well as the Transilien, in accordance with the terms of the contract concluded with the STIF. Finally, RATP enjoys a historical monopoly on road services (buses) as well as on light rail (metro, tram) in Paris and the nearby suburbs. As a result, public transport in this region is largely structured around the RATP network. It also operates, jointly with SNCF, two lines of the Réseau Express Régional (RER A and B). All private companies operating regular bus lines registered in the Regional Transport Plan, currently 84 companies or operating centers including Keolis, are grouped within OPTILE (Professional Organization of Transport in Ile-de-France).</w:t>
      </w:r>
    </w:p>
    <w:p>
      <w:r>
        <w:t>15. The Authority has nonetheless noted that the implementation of Community Regulation No. 1370/2007 of October 23, 2007, relating to public passenger transport services by rail and road ("OSP Regulation") should lead to a gradual convergence of the regulations applicable in Ile-de-France and in other French regions, and it cannot be ruled out that, ultimately, there will no longer be a need to distinguish between public passenger transport in Ile-de-France and outside Ile-de-France.</w:t>
      </w:r>
    </w:p>
    <w:p>
      <w:r>
        <w:t>16. As of the date of review of this operation and in light of the medium-term developments in the sector, there is no reason to challenge this analysis shared by the notifying party.</w:t>
      </w:r>
    </w:p>
    <w:p>
      <w:r>
        <w:t>2. PUBLIC PASSENGER TRANSPORT OUTSIDE ILE-DE-FRANCE</w:t>
      </w:r>
    </w:p>
    <w:p>
      <w:r>
        <w:t>17. In the sector of public passenger transport outside Ile-de-France, the Competition Authority has noted10 that it is necessary to distinguish between rail transport on the national rail network (excluding tram and metro) and road transport. These two modes of transport are indeed complementary and not substitutable, particularly due to their distinct legislative frameworks, their different functions in transport policy, but also because their operating costs present significant discrepancies (2 to 5 times higher for rail transport according to provided estimates). Furthermore, rail transport requires significant investments in heavy specific infrastructure, so that once these investments are made, substituting road transport for rail transport is hardly feasible.</w:t>
      </w:r>
    </w:p>
    <w:p>
      <w:r>
        <w:t>18. Within the road passenger transport outside Ile-de-France, national competition authorities distinguish urban transport from interurban transport. Indeed, it is the responsibility of different organizing authorities to organize urban transport (municipalities or their groupings) and interurban transport (departments or regions). Moreover, these two markets differ due to the specificity of the materials used (buses for urban transport, coaches for interurban transport), the skills required for the operation of these transport networks11, and the mode of ownership of the equipment (generally operator-owned for interurban transport, generally authority-owned for urban transport).</w:t>
      </w:r>
    </w:p>
    <w:p>
      <w:r>
        <w:t>19. Thus, regarding the public passenger transport market outside Ile-de-France, it is necessary to distinguish between (a) urban transport12, (b) interurban road transport13, and (c) passenger rail transport.</w:t>
      </w:r>
    </w:p>
    <w:p>
      <w:r>
        <w:t>a) The urban public passenger transport market outside Ile-de-France</w:t>
      </w:r>
    </w:p>
    <w:p>
      <w:r>
        <w:t>20. The Competition Authority considers that a market for urban public passenger transport outside Ile-de-France should be defined, encompassing all modes14.</w:t>
      </w:r>
    </w:p>
    <w:p>
      <w:r>
        <w:t>21. Indeed, in its opinion No. 09-A-55 of November 4, 2009, on the public land passenger transport sector, the Competition Authority noted that "in France, public service delegations for urban transport are most often awarded through tenders covering the entire network concerned. Thus, in a given territory, the operation of the entire urban passenger transport network is entrusted to a single operator." The same observation was made by the Authority in its decisions No. 10-DCC-02, No. 10-DCC-83, and No. 10-DCC-198 relating to concentration operations in the passenger transport sector: these decisions also noted the existence of a certain substitutability between the different modes of urban public transport, particularly between buses, trams, and metros.</w:t>
      </w:r>
    </w:p>
    <w:p>
      <w:r>
        <w:t>22. Furthermore, regarding a finer segmentation, leading to a distinction between networks depending on whether they involve so-called "heavy" transport modes (metro, tram), the Authority has repeatedly noted that all transport operators active in the French market are capable of responding to an urban transport tender, regardless of the nature of the modes concerned.</w:t>
      </w:r>
    </w:p>
    <w:p>
      <w:r>
        <w:t>b) The interurban road passenger transport market outside Ile-de-France</w:t>
      </w:r>
    </w:p>
    <w:p>
      <w:r>
        <w:t>23. In accordance with the legal framework for "non-urban road transport of persons" defined in Article 29 of the LOTI of December 30, 1982, the minister responsible for the economy has generally distinguished, within his decision-making practice, four categories of non-urban passenger transport services: regular public services, within which regular lines and school transport are distinguished, demand-responsive services, occasional services, and private services.</w:t>
      </w:r>
    </w:p>
    <w:p>
      <w:r>
        <w:t>24. In its previous decisions15, the Competition Authority noted that the specificities of these different interurban road transport services tended to blur in favor of a global market for interurban road passenger transport. It particularly observed that school transport and regular interurban transport are subject to tenders according to similar procedures, that they fall under the same awarding authority, and that they also benefit from identical pricing (users of regular lines can use school transport lines). Regarding demand-responsive services, the Authority noted that they depend, just like most regular interurban services, on the same awarding entity, namely the department.</w:t>
      </w:r>
    </w:p>
    <w:p>
      <w:r>
        <w:rPr>
          <w:b/>
        </w:rPr>
        <w:t>[Pages 7–9]</w:t>
      </w:r>
    </w:p>
    <w:p>
      <w:r>
        <w:t>25. From the supply perspective, the Authority noted that occasional or on-demand transport services, as well as school transport services, are generally offered by operators who are also active in regular interurban transport16.</w:t>
      </w:r>
    </w:p>
    <w:p>
      <w:r>
        <w:t>26. The analysis will therefore focus on the service market encompassing all interurban road passenger transport outside Ile-de-France.</w:t>
      </w:r>
    </w:p>
    <w:p>
      <w:r>
        <w:t>27. Furthermore, in its previous decisions, the Competition Authority highlighted the existence of road transport related to rail transport, namely:</w:t>
        <w:br/>
        <w:t>- road transport "assimilated to rail services," which includes, on the one hand, temporary road services organized to ensure the continuity of public service in the event of disruption of rail transport and, on the other hand, "mixed road services" organized alternately with a rail service when the line's ridership is low;</w:t>
        <w:br/>
        <w:t>- road transport "substituting for rail services" established to replace a complete TER line.</w:t>
      </w:r>
    </w:p>
    <w:p>
      <w:r>
        <w:t>28. Aside from the temporary road services established exceptionally by SNCF, mixed and substitute services are organized by the region, which may choose to mandate SNCF to award these contracts. In all cases, the awarding procedure provides for competition among operators through a tender process. These road services are intended to supplement rail transport and could, therefore, be assimilated to rail services. However, since these services do not fall under the exploitation monopoly of SNCF, they are accessible to all road carriers active in interurban transport. As such, they present characteristics that allow for the consideration of linking these services to the road transport market.</w:t>
      </w:r>
    </w:p>
    <w:p>
      <w:r>
        <w:t>29. In this case, the question of whether the road transport services related to rail transport constitute a distinct market or whether they should be linked to the interurban road transport market may remain open, insofar as, regardless of the hypothesis retained, the conclusions of the competitive analysis will remain unchanged.</w:t>
      </w:r>
    </w:p>
    <w:p>
      <w:r>
        <w:t>c) The rail passenger transport market</w:t>
      </w:r>
    </w:p>
    <w:p>
      <w:r>
        <w:t>30. The regulatory organization of rail transport varies according to the geographical dimension of the relevant connections. The LOTI establishes, on the one hand, the exploitation monopoly by SNCF of rail services on the national network. However, international passenger transport was opened to competition on December 13, 2009. On the other hand, the law on solidarity and urban renewal (the "SRU" law)17 of 2000 transferred to the regions the competence regarding regional rail passenger services.</w:t>
      </w:r>
    </w:p>
    <w:p>
      <w:r>
        <w:t>31. Railway stations also fall under the monopoly of SNCF. They are managed by the subsidiary Gares et Connexions, created in April 2009, which aims to allow access to stations for railway companies other than SNCF.</w:t>
      </w:r>
    </w:p>
    <w:p>
      <w:r>
        <w:t>32. Regarding regional rail transport, the aforementioned OSP regulation, which came into force in France on December 3, 2009, organizes the conditions under which the organizing authorities will have the possibility to progressively open regional rail services to competition. However, the regulation is not binding concerning rail transport, by exception to the provisions applying to road passenger transport. Thus, an opening of the market to competition could lead to considering a segmentation between national and regional rail transport due to the regulatory differences concerning their respective organization.</w:t>
      </w:r>
    </w:p>
    <w:p>
      <w:r>
        <w:t>33. However, the Competition Authority examined a global rail transport market during the acquisition of joint control of Keolis and Effia by SNCF and CDPQ in 2010.</w:t>
      </w:r>
    </w:p>
    <w:p>
      <w:r>
        <w:t>3. ACCESSORY MARKETS</w:t>
      </w:r>
    </w:p>
    <w:p>
      <w:r>
        <w:t>34. As explained, the only accessory market concerned by the operation is that of auditing public transport operators. The Authority considered that such a market, encompassing control and quality investigation services aimed at verifying the compliance of the service provided by the operator with the contract concluded with the organizing authority, could be considered18.</w:t>
      </w:r>
    </w:p>
    <w:p>
      <w:r>
        <w:t>B. GEOGRAPHICAL MARKETS</w:t>
      </w:r>
    </w:p>
    <w:p>
      <w:r>
        <w:t>1. THE PUBLIC PASSENGER TRANSPORT MARKET IN ILE-DE-FRANCE</w:t>
      </w:r>
    </w:p>
    <w:p>
      <w:r>
        <w:t>35. Regarding public passenger transport in Ile-de-France, the notifying party estimates, in accordance with decision-making practice, that currently, given the existing regulatory specificities in this region, the public passenger transport market in Ile-de-France should be understood solely within this region.</w:t>
      </w:r>
    </w:p>
    <w:p>
      <w:r>
        <w:t>36. The competitive analysis of this market will thus be conducted at the Ile-de-France level.</w:t>
      </w:r>
    </w:p>
    <w:p>
      <w:r>
        <w:t>2. THE URBAN PUBLIC PASSENGER TRANSPORT MARKET OUTSIDE ILE-DE-FRANCE</w:t>
      </w:r>
    </w:p>
    <w:p>
      <w:r>
        <w:t>37. Both national and community authorities have considered that competition for public urban transport markets is primarily exercised among all companies present at the national level. Indeed, when local authorities delegate the operation of urban passenger transport services, they organize tenders to which all national operators can respond.</w:t>
      </w:r>
    </w:p>
    <w:p>
      <w:r>
        <w:t>38. It has also been noted that the specificity of the legal framework in which these tenders are organized, their publication in French in newspapers whose distribution is, except for tenders launched by very large cities, limited to the national territory, as well as the relatively short response times allowed for candidates, constitute barriers to the entry of foreign operators into this market19. The very limited market shares held by the two foreign operators confirm that competition is restricted to the national territory.</w:t>
      </w:r>
    </w:p>
    <w:p>
      <w:r>
        <w:t>39. There is no reason to challenge this delimitation in the present case.</w:t>
      </w:r>
    </w:p>
    <w:p>
      <w:r>
        <w:t>3. THE INTERURBAN ROAD PUBLIC TRANSPORT MARKET FOR PASSENGERS OUTSIDE ILE-DE-FRANCE</w:t>
      </w:r>
    </w:p>
    <w:p>
      <w:r>
        <w:t>40. The Competition Authority has determined a departmental dimension of the interurban road transport market for passengers outside Ile-de-France. Indeed, the possession of vehicle depots and their appropriate location in relation to the lines being competed for is a determining factor in the competitiveness of the submitted offers. For this reason, the main operators in this market are large French operators but also SMEs or groups of small locally established interurban operators.</w:t>
      </w:r>
    </w:p>
    <w:p>
      <w:r>
        <w:t>4. THE RAIL PASSENGER TRANSPORT MARKET OUTSIDE ILE-DE-FRANCE</w:t>
      </w:r>
    </w:p>
    <w:p>
      <w:r>
        <w:t>41. Regarding national and regional rail passenger transport, the parties consider that the current existence of a legal monopoly of SNCF for the operation of rail transport services justifies retaining a national dimension of these markets in France.</w:t>
      </w:r>
    </w:p>
    <w:p>
      <w:r>
        <w:t>42. Concerning international rail services, a market recently opened to competition, it cannot be excluded that this market has a supranational dimension. However, in this case, the question of the precise geographical dimension of the international rail passenger transport market may be left open, insofar as, regardless of the hypothesis retained, the conclusions of the competitive analysis will remain unchanged.</w:t>
      </w:r>
    </w:p>
    <w:p>
      <w:r>
        <w:t>5. ACCESSORY MARKETS</w:t>
      </w:r>
    </w:p>
    <w:p>
      <w:r>
        <w:t>43. The Authority, in its decision No. 10-DCC-02, considered that the question of the delimitation of the public transport operator audit market could be left open, the competitive analysis conducted regarding conglomerate effects being carried out at the national level.</w:t>
      </w:r>
    </w:p>
    <w:p>
      <w:r>
        <w:t>44. This approach is still applicable for the examination of the present operation.</w:t>
      </w:r>
    </w:p>
    <w:p>
      <w:r>
        <w:t>III. Competitive Analysis</w:t>
      </w:r>
    </w:p>
    <w:p>
      <w:r>
        <w:t>45. This operation results in the transition from joint control of SNCF-P and CDPQ over Keolis to exclusive control of SNCF-P over Keolis. In several previous cases, both national and community competition authorities have emphasized that the transition from joint control to exclusive control is generally not in itself likely to significantly alter the conditions of competition. However, in more complex cases concerning, in particular, parties in a competitive situation prior to the concentration, the fact that the acquirer already exercises joint control has not prevented the</w:t>
      </w:r>
    </w:p>
    <w:p>
      <w:r>
        <w:rPr>
          <w:b/>
        </w:rPr>
        <w:t>[Pages 10–12]</w:t>
      </w:r>
    </w:p>
    <w:p>
      <w:r>
        <w:t>authorities from carefully analyzing the effects of the operation on competition21.</w:t>
      </w:r>
    </w:p>
    <w:p>
      <w:r>
        <w:t>46. In the case at hand, the Authority noted in 2010 that "insofar as CDPQ does not hold any controlling interest in companies active in the same markets as SNCF, Keolis, and Effia, nor in upstream, downstream, or related markets to those in which the target companies and SNCF operate, the competitive analysis will primarily focus on the impact of the merger between SNCF, Keolis, and Effia. Furthermore, given the absence of overlap and vertical or conglomerate links between the activities of SNCF and CDPQ, any risk of harm to competition from coordination of the parent companies' behavior can be ruled out"22.</w:t>
      </w:r>
    </w:p>
    <w:p>
      <w:r>
        <w:t>47. However, the European Commission notes in its referral decision that the loss of joint control of the Keolis group by CDPQ results in a change in the incentives of the new entity in that "CDPQ, which has no activities in the public passenger transport markets in France, does not necessarily have the same interests as SNCF-P. In particular, it is not necessarily in CDPQ's interest to allow SNCF to rely on Keolis to establish its presence in passenger rail transport, especially if such behavior were to harm Keolis's financial results. Therefore, the loss of joint control by CDPQ could reinforce the conglomerate effects identified by the Competition Authority during its review of the joint control of Keolis and Effia by SNCF-P and CDPQ."</w:t>
      </w:r>
    </w:p>
    <w:p>
      <w:r>
        <w:t>48. The competitive analysis will therefore take this risk into account and will consider any developments that may have occurred in the relevant markets, namely, regarding horizontal effects, in the rail transport market, and regarding conglomerate effects, in the markets for auditing public transport operators and in the various public passenger transport markets.</w:t>
      </w:r>
    </w:p>
    <w:p>
      <w:r>
        <w:t>A. HORIZONTAL EFFECTS: THE NATIONAL RAIL PASSENGER TRANSPORT MARKET</w:t>
      </w:r>
    </w:p>
    <w:p>
      <w:r>
        <w:t>49. Currently, SNCF holds a monopoly in the rail passenger transport market. However, in anticipation of a possible opening to competition, it is necessary to determine whether the operation would have a negative competitive impact on this market by leading to the disappearance of a potential competitor, Keolis, in this market.</w:t>
      </w:r>
    </w:p>
    <w:p>
      <w:r>
        <w:t>50. The Competition Authority had the opportunity to examine this issue in 2010 during the joint control of Keolis and Effia by SNCF-P and CDPQ. It ruled out this risk to the extent that Keolis was not the only potential entrant into this market, as other French or foreign operators could develop in this market as soon as it was liberalized.</w:t>
      </w:r>
    </w:p>
    <w:p>
      <w:r>
        <w:t>51. The Authority and the notifying party consider that this analysis remains valid in 2012, with no major changes in the sector undermining these conclusions.</w:t>
      </w:r>
    </w:p>
    <w:p>
      <w:r>
        <w:t>21 See, for example, at the national level, the Authority's decision No. 11-DCC-34 of February 25, 2011, regarding the acquisition of exclusive control of Ne Varietur by GDF Suez and, at the European level, the European Commission's decision of December 17, 2008, No. COMP/M.5141 KLM/Martinair.</w:t>
      </w:r>
    </w:p>
    <w:p>
      <w:r>
        <w:t>22 Decision No. 10-DCC-02 cited above.</w:t>
      </w:r>
    </w:p>
    <w:p>
      <w:r>
        <w:t>B. CONGLOMERATE EFFECTS</w:t>
      </w:r>
    </w:p>
    <w:p>
      <w:r>
        <w:t>1. BETWEEN THE AUDIT MARKETS FOR PUBLIC TRANSPORT OPERATORS AND THE ROAD PUBLIC TRANSPORT MARKET FOR PASSENGERS</w:t>
      </w:r>
    </w:p>
    <w:p>
      <w:r>
        <w:t>a) Risks of harm to competition identified in 2010</w:t>
      </w:r>
    </w:p>
    <w:p>
      <w:r>
        <w:t>52. Effia, through its subsidiary Effia Synergies, was notably engaged in quality control activities on public road and rail transport networks on behalf of organizing authorities. As part of these missions, Effia audited networks operated by both SNCF and Keolis (with an annual turnover of approximately […] euros) as well as networks operated by competing transporters (with a turnover of approximately […] euros).</w:t>
      </w:r>
    </w:p>
    <w:p>
      <w:r>
        <w:t>53. During the joint control operation by SNCF-P and CDPQ of Keolis and Effia, the Authority considered that Effia could favor Keolis by allowing it privileged access to the information it collects during audits conducted on networks operated by its competitors. Through this means, Keolis was likely to provide more relevant responses to tenders due to its better understanding of the operation of the networks. Keolis could also have benefited from a better understanding of the requirements of the contract binding the transporter to the organizing authority (notably regarding the more or less binding nature of quality of service objectives), such that Keolis would have been better informed about the profitability of the various markets and better able to negotiate the terms of the operating contract with the organizing authority to its advantage. Finally, the Authority considered that it could not be ruled out that Effia would be incentivized to bias its audit reports against the incumbent competitor in order to favor alternative bids at the time of the renewal of the operating contract.</w:t>
      </w:r>
    </w:p>
    <w:p>
      <w:r>
        <w:t>54. To alleviate these concerns, the parties committed, by a letter dated January 8, 2010, that Effia would no longer respond to tenders from organizing authorities for quality control services to be performed on urban or interurban public passenger transport networks operated by competitors of Keolis. Specific commitments were made to address particular cases of ongoing contracts, changes in public transport operators during the contract, and tenders for different types of service provisions23.</w:t>
      </w:r>
    </w:p>
    <w:p>
      <w:r>
        <w:t>55. These commitments were made for a duration of 5 years and may be extended for a maximum duration of 5 years.</w:t>
      </w:r>
    </w:p>
    <w:p>
      <w:r>
        <w:t>b) Competitive analysis in the context of the present operation</w:t>
      </w:r>
    </w:p>
    <w:p>
      <w:r>
        <w:t>56. The Authority and the notifying party consider that the competitive analysis remains relevant in the context of the present operation, as no structural changes have occurred in these markets since 2010. The risks of harm to competition identified in 2010 would therefore persist in the absence of corrective measures, and the necessity of the commitments defined in 2010 is not called into question by the transition from joint control of SNCF-P and CDPQ to exclusive control of SNCF-P over Keolis.</w:t>
      </w:r>
    </w:p>
    <w:p>
      <w:r>
        <w:t>23 See paragraph 99 of decision No. 10-DCC-02.</w:t>
      </w:r>
    </w:p>
    <w:p>
      <w:r>
        <w:t>57. On the other hand, the exclusive control of SNCF-P over the Keolis group does not change the incentives of SNCF-P due to a change in the interactions between the activities of Keolis and Effia, the latter having been integrated into the Keolis group in 2010. The notified operation does not therefore call into question the sufficiency of the commitments.</w:t>
      </w:r>
    </w:p>
    <w:p>
      <w:r>
        <w:t>2. BETWEEN THE RAIL TRANSPORT MARKET AND THE URBAN AND INTERURBAN PASSENGER TRANSPORT MARKETS</w:t>
      </w:r>
    </w:p>
    <w:p>
      <w:r>
        <w:t>a) Risks of harm to competition identified in 2010</w:t>
      </w:r>
    </w:p>
    <w:p>
      <w:r>
        <w:t>58. During its examination of the joint control of Keolis and Effia by SNCF-P and CDPQ, the Authority identified four risks of harm to competition through conglomerate effects between the rail transport market and the urban and interurban passenger transport markets:</w:t>
        <w:br/>
        <w:t>- a first risk related to the fact that SNCF manages the railway stations. Following this operation, the Authority estimated that SNCF could favor its subsidiary Keolis regarding the establishment of information and sales points in the stations;</w:t>
        <w:br/>
        <w:t>- a second risk arising from the fact that SNCF holds essential information for organizing road passenger transport, namely information on its train schedules. The Authority considered that following the operation, Keolis was likely to benefit from privileged access to this information, to the detriment of its competitors;</w:t>
        <w:br/>
        <w:t>- a third risk related to the allocation of road services "similar to rail" as well as "substitution" road services. The Authority considered that the operation could create an additional incentive for SNCF, mandated by the regions for the allocation of these markets, to favor its subsidiary Keolis to the detriment of its competitors;</w:t>
        <w:br/>
        <w:t>- the fourth risk arising from the fact that, in anticipation of a possible opening to competition in passenger rail transport, SNCF could rely on Keolis to establish its presence in passenger rail transport.</w:t>
      </w:r>
    </w:p>
    <w:p>
      <w:r>
        <w:t>59. The Authority then considered that there were serious doubts about harm to competition resulting from the first two types of risks. SNCF-P and CDPQ then submitted commitments aimed at alleviating these doubts. Thus, the parties committed to ensuring transparent and non-discriminatory access for road transport operators regarding services at the stations24. The parties also committed to making available to any public road passenger transporter who requests it, for the purposes of responding to a tender or in the execution of a public transport contract, under transparent and non-discriminatory conditions:</w:t>
        <w:br/>
        <w:t>- the forecast schedules of all its passenger trains (TER, Transilien, TGV, and Grandes Lignes) for the coming year (service schedules coming into effect on the second Sunday of December);</w:t>
        <w:br/>
        <w:t>- information regarding modifications made by the infrastructure manager to the theoretical transport plan for all its passenger trains (TER, Transilien, TGV, and Grandes Lignes).</w:t>
      </w:r>
    </w:p>
    <w:p>
      <w:r>
        <w:t>24 See paragraph 108 of decision No. 10-DCC-02.</w:t>
      </w:r>
    </w:p>
    <w:p>
      <w:r>
        <w:rPr>
          <w:b/>
        </w:rPr>
        <w:t>[Pages 13–15]</w:t>
      </w:r>
    </w:p>
    <w:p>
      <w:r>
        <w:t>60. The parties finally committed to respond in a transparent and non-discriminatory manner to any request aimed at concluding a guaranteed connection agreement with all SNCF trains (TER, Transilien, TGV, and Grandes Lignes) that may be made by any public road passenger transport operator, based on a standard charter.</w:t>
      </w:r>
    </w:p>
    <w:p>
      <w:r>
        <w:t>61. All commitments were made for a duration of 5 years and may be extended for a maximum duration of 5 years.</w:t>
      </w:r>
    </w:p>
    <w:p>
      <w:r>
        <w:t>62. The Authority then dismissed the last two types of risks. Regarding the allocation of road services, the Authority noted that these services represented a small share of the overall urban road transport services, that there was a binding legal framework, and finally that the regions were taking over the procedure for allocating assimilated and substitute road services. Concerning the possibility for SNCF to rely on Keolis to strengthen its presence in regional rail transport, the Authority noted that if the regions were to allocate regional rail services and regional road services in the same tender, on the one hand, regional road services represented a small share of the interurban road passenger market, and on the other hand, the regions had no interest in coupling these two types of services within the same tender.</w:t>
      </w:r>
    </w:p>
    <w:p>
      <w:r>
        <w:t>63. SNCF could also benefit from Keolis's position if the various organizing authorities favored an operator integrating rail services and road services, in order to best coordinate their transport offers. Indeed, SNCF could claim the possibility of ensuring an adjustment of the transport offered by Keolis with its rail traffic (the reverse being unlikely). However, the Authority considered that given the commitments made by SNCF and CDPQ regarding the transmission of information and access to services at stations, SNCF could not gain a real competitive advantage by relying on its ties with Keolis when the liberalization of regional rail transport becomes effective.</w:t>
      </w:r>
    </w:p>
    <w:p>
      <w:r>
        <w:t>b) Competitive analysis in the context of the present operation</w:t>
      </w:r>
    </w:p>
    <w:p>
      <w:r>
        <w:t>64. The Authority and the notifying party consider that the analysis above is still relevant. Indeed, the rail transport market, like the public passenger transport markets, has not undergone any major structural changes. Furthermore, the position of the new entity and its main competitors has not significantly evolved since the examination of the previous operation, as indicated in the table below:</w:t>
      </w:r>
    </w:p>
    <w:p>
      <w:r>
        <w:t>Other</w:t>
        <w:br/>
        <w:t>RATP</w:t>
        <w:br/>
        <w:t>2011 SNCF Keolis Veolia operators</w:t>
        <w:br/>
        <w:t>French Development</w:t>
        <w:br/>
        <w:t>Transport</w:t>
        <w:br/>
        <w:t>100 % -- -- -- --</w:t>
        <w:br/>
        <w:t>railway</w:t>
        <w:br/>
        <w:t>Urban transport</w:t>
        <w:br/>
        <w:t>outside Ile-de- -- [30-40] % [30-40] % -- [30-40] %</w:t>
        <w:br/>
        <w:t>France</w:t>
        <w:br/>
        <w:t>Interurban transport -- [20-30] % [40-50] % -- [30-40] %</w:t>
        <w:br/>
        <w:t>outside Ile-de-France</w:t>
        <w:br/>
        <w:t>Transport in Ile-</w:t>
        <w:br/>
        <w:t>de-France (excluding</w:t>
        <w:br/>
        <w:t>-- [20-30] % 40-55 % [10-20] % 10-25 %</w:t>
        <w:br/>
        <w:t>RATP monopoly)</w:t>
      </w:r>
    </w:p>
    <w:p>
      <w:r>
        <w:t>65. In the market for urban road transport outside Ile-de-France for passengers, Keolis has won […] new contracts since 2010 and has lost […]. In total, Keolis holds a management contract for urban passenger transport in […] cities.</w:t>
      </w:r>
    </w:p>
    <w:p>
      <w:r>
        <w:t>66. In the market for public passenger transport in Ile-de-France outside the RATP monopoly, Keolis has won […] new contracts and has lost […]. However, the notifying party estimates that Keolis's market share by value has remained stable since 2010.</w:t>
      </w:r>
    </w:p>
    <w:p>
      <w:r>
        <w:t>67. Regarding the interurban passenger transport market, the notifying party was unable to provide an estimate of the market shares of the new entity at the departmental level. However, it indicated the lines lost and gained ([…] contracts won, […] lost for a stable overall turnover) in the […] departments where it is present, as well as the evolution of the number of vehicles between 2010 and 2012.</w:t>
      </w:r>
    </w:p>
    <w:p>
      <w:r>
        <w:t>68. Veolia-Transdev, Keolis's main competitor, made a number of observations regarding the operation, stating that "the SNCF group presents itself, through Keolis, as being present in all modes of transport, including interurban road transport and urban transport (tram, bus, etc.). This multimodal presence enhances the intermodality capacity of the SNCF group and strengthens the attractiveness of Keolis's transport offers to organizing authorities, as it is easy for it to operate together, around the stations it manages, the different transport networks managed by Keolis, and their seamless interconnection with the train."25. The concerns expressed by this company, however, correspond to the competition issues already identified in 2010 and recalled above, for which the notifying parties committed to implement corrective measures. However, Veolia does not provide any evidence to indicate that the notified operation would undermine the appropriateness of these corrective measures or their effectiveness or to suggest that the commitments made would not be respected.</w:t>
      </w:r>
    </w:p>
    <w:p>
      <w:r>
        <w:t>69. In total, the Competition Authority considers that the risks of harm to competition identified in 2010 would persist in the absence of corrective measures and that the necessity of the commitments defined in 2010 is not called into question by the transition from joint control of SNCF-P and CDPQ to exclusive control over Keolis.</w:t>
      </w:r>
    </w:p>
    <w:p>
      <w:r>
        <w:t>70. On the other hand, the examination conducted did not show that the conglomerate effects identified would be aggravated following the notified operation and therefore does not call into question the sufficiency of the commitments made.</w:t>
      </w:r>
    </w:p>
    <w:p>
      <w:r>
        <w:t>IV. Renewal of commitments</w:t>
      </w:r>
    </w:p>
    <w:p>
      <w:r>
        <w:t>71. As seen above, the competitive analysis of the effects of the notified operation conducted has not called into question the necessity and sufficiency of the commitments made in 2010 by SNCF-P and CDPQ.</w:t>
      </w:r>
    </w:p>
    <w:p>
      <w:r>
        <w:t>72. However, these commitments were made by SNCF-P and CDPQ in the context of their joint control of the Keolis group. Following the present operation, SNCF-P will now hold exclusive control of Keolis alone. In order to dispel any doubts that may arise regarding the scope or effectiveness of these commitments due to the modification just mentioned, the notifying party reiterated the commitments made in 2010 in the context of the control of the present operation by letter dated August 9, 2012.</w:t>
      </w:r>
    </w:p>
    <w:p>
      <w:r>
        <w:t>73. Therefore, in the context of the present procedure, SNCF commits to continue the implementation of the commitments made under decision No. 10-DCC-02 of January 2, 2010, in all their provisions and under the same conditions, for the remaining time for their execution.</w:t>
      </w:r>
    </w:p>
    <w:p>
      <w:r>
        <w:t>DECIDES</w:t>
      </w:r>
    </w:p>
    <w:p>
      <w:r>
        <w:t>Sole Article: The operation notified under number 12-107 is authorized, subject to the above commitments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