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https://www.autoritedelaconcurrence.fr/fr/decision-de-controle-des-concentrations/relative-la-prise-de-controle-exclusif-du-groupe-klanik-par</w:t>
      </w:r>
    </w:p>
    <w:p>
      <w:r>
        <w:t>Pages translated : 2</w:t>
      </w:r>
    </w:p>
    <w:p/>
    <w:p>
      <w:r>
        <w:rPr>
          <w:b/>
        </w:rPr>
        <w:t>[Pages 1–2]</w:t>
      </w:r>
    </w:p>
    <w:p>
      <w:r>
        <w:t xml:space="preserve">FRENCH REPUBLIC  </w:t>
        <w:br/>
        <w:t xml:space="preserve">Decision No. 26-DCC-75 of March 25, 2026  </w:t>
        <w:br/>
        <w:t xml:space="preserve">regarding the exclusive control acquisition of the Klanik group  </w:t>
        <w:br/>
        <w:t xml:space="preserve">by the Alten group  </w:t>
        <w:br/>
        <w:t>The Competition Authority,</w:t>
      </w:r>
    </w:p>
    <w:p>
      <w:r>
        <w:t xml:space="preserve">Having regard to the complete notification file submitted to the mergers department on March 10, 2026,  </w:t>
        <w:br/>
        <w:t xml:space="preserve">concerning the exclusive control acquisition of Klanik SAS and its subsidiaries by the Alten group,  </w:t>
        <w:br/>
        <w:t>formalized by a memorandum of understanding dated February 17, 2026;</w:t>
      </w:r>
    </w:p>
    <w:p>
      <w:r>
        <w:t xml:space="preserve">Having regard to Book IV of the Commercial Code relating to the freedom of prices and competition, and  </w:t>
        <w:br/>
        <w:t>notably its Articles L. 430-1 to L. 430-7;</w:t>
      </w:r>
    </w:p>
    <w:p>
      <w:r>
        <w:t>Having regard to the other documents in the file;</w:t>
      </w:r>
    </w:p>
    <w:p>
      <w:r>
        <w:t xml:space="preserve">Adopts the following decision:  </w:t>
        <w:br/>
        <w:t xml:space="preserve">1. The notified operation consists of the exclusive control acquisition of Klanik SAS and its  </w:t>
        <w:br/>
        <w:t xml:space="preserve">subsidiaries by the Alten group. The sector concerned by the operation is that of IT services.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