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https://www.autoritedelaconcurrence.fr/fr/decision-de-controle-des-concentrations/relative-la-prise-de-controle-exclusif-du-groupe-koden-par</w:t>
      </w:r>
    </w:p>
    <w:p>
      <w:r>
        <w:t>Pages translated : 2</w:t>
      </w:r>
    </w:p>
    <w:p/>
    <w:p>
      <w:r>
        <w:rPr>
          <w:b/>
        </w:rPr>
        <w:t>[Pages 1–2]</w:t>
      </w:r>
    </w:p>
    <w:p>
      <w:r>
        <w:t xml:space="preserve">FRENCH REPUBLIC  </w:t>
        <w:br/>
        <w:t xml:space="preserve">Decision No. 20-DCC-54 of April 10, 2020  </w:t>
        <w:br/>
        <w:t xml:space="preserve">regarding the acquisition of exclusive control of the Koden group by the C’Pro group  </w:t>
        <w:br/>
        <w:t xml:space="preserve">The Competition Authority,  </w:t>
        <w:br/>
        <w:t xml:space="preserve">Having regard to the complete notification file submitted to the mergers department on March 10, 2020,  </w:t>
        <w:br/>
        <w:t xml:space="preserve">concerning the acquisition of exclusive control of the Koden group by the C’Pro group formalized by a  </w:t>
        <w:br/>
        <w:t xml:space="preserve">transfer agreement dated February 12, 2020;  </w:t>
        <w:br/>
        <w:t xml:space="preserve">Having regard to Book IV of the Commercial Code relating to the freedom of prices and competition, and  </w:t>
        <w:br/>
        <w:t xml:space="preserve">notably its Articles L. 430-1 to L. 430-7;  </w:t>
        <w:br/>
        <w:t xml:space="preserve">Having regard to the additional elements provided by the parties during the investigation;  </w:t>
        <w:br/>
        <w:t xml:space="preserve">Adopts the following decision:  </w:t>
        <w:br/>
        <w:t xml:space="preserve">1. The notified operation consists of the acquisition of exclusive control by the C’Pro group of the Koden  </w:t>
        <w:br/>
        <w:t xml:space="preserve">group. It constitutes a concentration within the meaning of Article L. 430-1 of the Commercial Code.  </w:t>
        <w:br/>
        <w:t xml:space="preserve">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the market for the supply of computer equipment, the market for the distribution of computer products, the market for IT services, and the market for the financing of movable assets for professionals, which are consistently defined by the decision-making practice of the Competition Authority.  </w:t>
        <w:br/>
        <w:t xml:space="preserve">3. Regardless of the segmentations retained, the combined market shares of the parties are below 25%.  </w:t>
        <w:br/>
        <w:t>4. Given the elements of the file and notably point 384 of the guidelines of the Competition Authority relating to the control of concentrations, the operation is not likely to harm competition.</w:t>
      </w:r>
    </w:p>
    <w:p>
      <w:r>
        <w:t xml:space="preserve">DECIDES  </w:t>
        <w:br/>
        <w:t xml:space="preserve">Sole Article: The operation notified under number 20-038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