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https://www.autoritedelaconcurrence.fr/fr/decision-de-controle-des-concentrations/relative-la-prise-de-controle-exclusif-du-groupe-la-0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22-DCC-206 of November 3, 2022  </w:t>
        <w:br/>
        <w:t xml:space="preserve">regarding the exclusive control of the La Marnière group  </w:t>
        <w:br/>
        <w:t>by the InVivo group</w:t>
      </w:r>
    </w:p>
    <w:p>
      <w:r>
        <w:t>The Competition Authority,</w:t>
      </w:r>
    </w:p>
    <w:p>
      <w:r>
        <w:t xml:space="preserve">Having regard to the complete notification file sent to the mergers department on October 17, 2022,  </w:t>
        <w:br/>
        <w:t xml:space="preserve">concerning the exclusive control of the company New Retail Food Concept ("NRFC") by the  </w:t>
        <w:br/>
        <w:t>company InVivo Retail, formalized by an offer letter dated July 28,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by the company InVivo Retail,  </w:t>
        <w:br/>
        <w:t xml:space="preserve">belonging to the InVivo group, active in the gardening, pet shop, and food distribution sectors,  </w:t>
        <w:br/>
        <w:t xml:space="preserve">of the company NRFC, the parent company of the La Marnière group, active in the  </w:t>
        <w:br/>
        <w:t xml:space="preserve">sector of fresh food distribution. It constitutes a concentration operation within the meaning of  </w:t>
        <w:br/>
        <w:t xml:space="preserve">Article L. 430-1 of the Commercial Code. Given the turnover achieved by the concerned companies,  </w:t>
        <w:br/>
        <w:t xml:space="preserve">the operation does not fall under the jurisdiction of the European Union. On the other hand, the  </w:t>
        <w:br/>
        <w:t xml:space="preserve">retail control thresholds mentioned in II of Article L. 430-2 of the Commercial Code are exceeded.  </w:t>
        <w:br/>
        <w:t xml:space="preserve">This operation is therefore subject to the provisions of Articles L. 430-3 and following of the  </w:t>
        <w:br/>
        <w:t>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22-239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