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https://www.autoritedelaconcurrence.fr/fr/decision-de-controle-des-concentrations/relative-la-prise-de-controle-exclusif-du-groupe-la-1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22-DCC-204 of October 24, 2022  </w:t>
        <w:br/>
        <w:t xml:space="preserve">regarding the exclusive control acquisition of the La Provence group by the  </w:t>
        <w:br/>
        <w:t xml:space="preserve">CMA-CGM group  </w:t>
        <w:br/>
        <w:t xml:space="preserve">The Competition Authority,  </w:t>
        <w:br/>
        <w:t xml:space="preserve">Having regard to the notification file sent to the mergers department on December 6, 2021, declared  </w:t>
        <w:br/>
        <w:t xml:space="preserve">complete on September 30, 2022, concerning the exclusive control acquisition of the company  </w:t>
        <w:br/>
        <w:t xml:space="preserve">La Provence SA and its subsidiaries by the company CMA-CGM, formalized by the order of the  </w:t>
        <w:br/>
        <w:t xml:space="preserve">bankruptcy judge of the commercial court of Bobigny on September 30,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communicated by the notifying party during the  </w:t>
        <w:br/>
        <w:t xml:space="preserve">investigation;  </w:t>
        <w:br/>
        <w:t xml:space="preserve">Adopts the following decision:  </w:t>
        <w:br/>
        <w:t xml:space="preserve">1. The notified operation consists of the exclusive control acquisition of the company La Provence SA and  </w:t>
        <w:br/>
        <w:t xml:space="preserve">its subsidiaries by the company CMA-CGM. The company La Provence SA is primarily active  </w:t>
        <w:br/>
        <w:t xml:space="preserve">in the field of print media and the operation of online editorial sites. The operation  </w:t>
        <w:br/>
        <w:t xml:space="preserve">constitutes a concentration operation within the meaning of Article L. 430-1 of the Commercial Code.  </w:t>
        <w:br/>
        <w:t xml:space="preserve">Given the turnover generated by the companies concerned, the operation does not fall  </w:t>
        <w:br/>
        <w:t xml:space="preserve">under the jurisdiction of the European Union. On the other hand, the control thresholds mentioned  </w:t>
        <w:br/>
        <w:t xml:space="preserve">in I of Article L. 430-2 of the Commercial Code are exceeded. This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21-303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