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https://www.autoritedelaconcurrence.fr/fr/decision-de-controle-des-concentrations/relative-la-prise-de-controle-exclusif-du-groupe-la-maison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26-DCC-03 of January 9, 2026  </w:t>
        <w:br/>
        <w:t xml:space="preserve">regarding the exclusive control acquisition of the La Maison Bleue group  </w:t>
        <w:br/>
        <w:t>by the BNP Paribas group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December 16, 2025, concerning the exclusive control acquisition of the La Maison Bleue group by the  </w:t>
        <w:br/>
        <w:t xml:space="preserve">companies BNPP AM, AXA IM (exclusively controlled by BNP Paribas S.A.), and  </w:t>
        <w:br/>
        <w:t>Atalante SAS (exclusively controlled by AXA IM), indirectly via investment vehicles managed by BNPP AM, AXA IM, and Atalante SAS, formalized by a conciliation protocol signed on November 25,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of 100% of the capital of the La Maison  </w:t>
        <w:br/>
        <w:t xml:space="preserve">Bleue company, the parent company of the La Maison Bleue group, by a company to be formed (“NewCo”) which  </w:t>
        <w:br/>
        <w:t xml:space="preserve">will be exclusively controlled ultimately by the BNP Paribas group. The La Maison Bleue group  </w:t>
        <w:br/>
        <w:t xml:space="preserve">is active in the sector of formal childcare for young children. The operation constitutes  </w:t>
        <w:br/>
        <w:t xml:space="preserve">a 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25-361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