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https://www.autoritedelaconcurrence.fr/fr/decision-de-controle-des-concentrations/relative-la-prise-de-controle-exclusif-du-groupe-la-poste</w:t>
      </w:r>
    </w:p>
    <w:p>
      <w:r>
        <w:t>Pages translated : 30</w:t>
      </w:r>
    </w:p>
    <w:p/>
    <w:p>
      <w:r>
        <w:rPr>
          <w:b/>
        </w:rPr>
        <w:t>[Pages 1–3]</w:t>
      </w:r>
    </w:p>
    <w:p>
      <w:r>
        <w:t xml:space="preserve">FRENCH REPUBLIC  </w:t>
        <w:br/>
        <w:t xml:space="preserve">Decision No. 19-DCC-270 of December 30, 2019  </w:t>
        <w:br/>
        <w:t xml:space="preserve">regarding the exclusive control of the La Poste group and the  </w:t>
        <w:br/>
        <w:t>company CNP Assurances by the Caisse des dépôts et consignations</w:t>
      </w:r>
    </w:p>
    <w:p>
      <w:r>
        <w:t xml:space="preserve">The Competition Authority,  </w:t>
        <w:br/>
        <w:t xml:space="preserve">Having regard to the notification file submitted in full to the concentrations service on  </w:t>
        <w:br/>
        <w:t xml:space="preserve">November 22, 2019, concerning the acquisition by the Caisse des dépôts et consignations of  </w:t>
        <w:br/>
        <w:t xml:space="preserve">exclusive control of the La Poste group and the acquisition by the company La Banque Postale  </w:t>
        <w:br/>
        <w:t xml:space="preserve">of exclusive control of the company CNP Assurances, formalized by a memorandum of  </w:t>
        <w:br/>
        <w:t xml:space="preserve">understanding dated July 31, 2019;  </w:t>
        <w:br/>
        <w:t xml:space="preserve">Having regard to Book IV of the Commercial Code relating to price freedom and competition,  </w:t>
        <w:br/>
        <w:t xml:space="preserve">and in particular its Articles L. 430-1 to L. 430-7;  </w:t>
        <w:br/>
        <w:t xml:space="preserve">Having regard to the additional elements transmitted by the notifying party during the  </w:t>
        <w:br/>
        <w:t xml:space="preserve">investigation;  </w:t>
        <w:br/>
        <w:t xml:space="preserve">Having regard to the other documents in the file;  </w:t>
        <w:br/>
        <w:t>Adopts the following decision:</w:t>
      </w:r>
    </w:p>
    <w:p>
      <w:r>
        <w:t xml:space="preserve">Summary1  </w:t>
        <w:br/>
        <w:t xml:space="preserve">On November 22, 2019, the Caisse des dépôts et consignations notified the Authority of the  </w:t>
        <w:br/>
        <w:t xml:space="preserve">transition from joint control with the State to exclusive control over the La Poste group as well  </w:t>
        <w:br/>
        <w:t xml:space="preserve">as the exclusive control by La Banque Postale, a subsidiary of the La Poste group, over CNP  </w:t>
        <w:br/>
        <w:t xml:space="preserve">Assurances. The three groups are notably active in the banking, insurance, real estate, health  </w:t>
        <w:br/>
        <w:t xml:space="preserve">sectors, and, concerning the CDC and the La Poste group, in providing internet access and data  </w:t>
        <w:br/>
        <w:t xml:space="preserve">processing.  </w:t>
        <w:br/>
        <w:t xml:space="preserve">The Authority analyzed the effects of the operation on the structure of these markets, based on  </w:t>
        <w:br/>
        <w:t xml:space="preserve">its decision-making practice and market tests conducted with players in the banking and  </w:t>
        <w:br/>
        <w:t xml:space="preserve">insurance sectors. It specifically conducted an analysis of the local authorities' financing market  </w:t>
        <w:br/>
        <w:t xml:space="preserve">and concluded that the CDC did not engage in economic activity in this market given the  </w:t>
        <w:br/>
        <w:t xml:space="preserve">specificities of the loans granted to local authorities (duration, legislative framework,  </w:t>
        <w:br/>
        <w:t xml:space="preserve">remuneration, complementarity with loans granted by commercial banks).  </w:t>
        <w:br/>
        <w:t xml:space="preserve">On the banking and insurance markets, the Authority conducted an analysis of horizontal,  </w:t>
        <w:br/>
        <w:t xml:space="preserve">vertical, and conglomerate effects and concluded that the operation was not likely to limit  </w:t>
        <w:br/>
        <w:t xml:space="preserve">competition in these markets given the limited positions of the parties, the presence of major  </w:t>
        <w:br/>
        <w:t xml:space="preserve">players in both markets, and the evolution of these markets with the entry of new operators  </w:t>
        <w:br/>
        <w:t xml:space="preserve">from the digital sector.  </w:t>
        <w:br/>
        <w:t xml:space="preserve">On the real estate, data processing, internet access, and health markets, the operation is not  </w:t>
        <w:br/>
        <w:t xml:space="preserve">likely to restrict competition, as the parties hold limited market shares.  </w:t>
        <w:br/>
        <w:t xml:space="preserve">In light of all these elements, the Authority authorized the operation without subjecting it to  </w:t>
        <w:br/>
        <w:t xml:space="preserve">any specific conditions.  </w:t>
        <w:br/>
        <w:t>1 This summary is strictly informative. Only the reasons for the decision numbered below are authoritative.</w:t>
      </w:r>
    </w:p>
    <w:p>
      <w:r>
        <w:t xml:space="preserve">TABLE OF CONTENTS  </w:t>
        <w:br/>
        <w:t xml:space="preserve">I. THE COMPANIES CONCERNED AND THE OPERATION ........................................................... 5  </w:t>
        <w:br/>
        <w:t xml:space="preserve">1. The parties to the operation ............................................................................................. 5  </w:t>
        <w:br/>
        <w:t xml:space="preserve">2. The operation .................................................................................................................. 5  </w:t>
        <w:br/>
        <w:t xml:space="preserve">II. DELIMITATION OF THE RELEVANT MARKETS ...................................................................... 6  </w:t>
        <w:br/>
        <w:t xml:space="preserve">A. The banking services markets ......................................................................................... 7  </w:t>
        <w:br/>
        <w:t xml:space="preserve">1. The commercial banking markets .................................................................................. 7  </w:t>
        <w:br/>
        <w:t xml:space="preserve">2. The retail banking markets ............................................................................................. 8  </w:t>
        <w:br/>
        <w:t xml:space="preserve">B. Financing of local authorities .......................................................................................... 9  </w:t>
        <w:br/>
        <w:t xml:space="preserve">C. The insurance markets ................................................................................................... 11  </w:t>
        <w:br/>
        <w:t xml:space="preserve">1. The reinsurance markets ............................................................................................... 11  </w:t>
        <w:br/>
        <w:t xml:space="preserve">2. The insurance production markets ............................................................................... 12  </w:t>
        <w:br/>
        <w:t xml:space="preserve">3. The insurance distribution markets for third parties .................................................... 14  </w:t>
        <w:br/>
        <w:t xml:space="preserve">D. The real estate markets .................................................................................................. 14  </w:t>
        <w:br/>
        <w:t xml:space="preserve">1. The real estate services markets .................................................................................. 15  </w:t>
        <w:br/>
        <w:t xml:space="preserve">a) The services markets ................................................................................................. 15  </w:t>
        <w:br/>
        <w:t xml:space="preserve">b) The geographical markets .......................................................................................... 17  </w:t>
        <w:br/>
        <w:t xml:space="preserve">2. The multi-technical management and maintenance markets ......................................... 17  </w:t>
        <w:br/>
        <w:t xml:space="preserve">3. The engineering and technical studies market .............................................................. 18  </w:t>
        <w:br/>
        <w:t xml:space="preserve">E. The document and data processing markets for third parties ......................................... 19  </w:t>
        <w:br/>
        <w:t xml:space="preserve">F. The retail internet access markets ................................................................................ 20  </w:t>
        <w:br/>
        <w:t xml:space="preserve">G. The health markets ......................................................................................................... 21  </w:t>
        <w:br/>
        <w:t xml:space="preserve">1. The e-health market ...................................................................................................... 21  </w:t>
        <w:br/>
        <w:t xml:space="preserve">2. The personal services market ....................................................................................... 21  </w:t>
        <w:br/>
        <w:t xml:space="preserve">3. The home health service provision market .................................................................. 22  </w:t>
        <w:br/>
        <w:t xml:space="preserve">4. The market for diagnostic and hospital care offerings .................................................. 22  </w:t>
        <w:br/>
        <w:t xml:space="preserve">III. COMPETITIVE ANALYSIS ................................................................................................. 23  </w:t>
        <w:br/>
        <w:t xml:space="preserve">A. Analysis of the effects related to the transition from joint control exercised by the CDC  </w:t>
        <w:br/>
        <w:t xml:space="preserve">and the State to exclusive control of the CDC over the La Poste group ............................ 23  </w:t>
        <w:br/>
        <w:t xml:space="preserve">1. On the banking markets ................................................................................................. 23  </w:t>
        <w:br/>
        <w:t xml:space="preserve">2. On the other markets concerned by the operation .......................................................... 25  </w:t>
        <w:br/>
        <w:t xml:space="preserve">B. Analysis of the effects related to the takeover of CNP Assurances by the CDC/LBP ....  </w:t>
        <w:br/>
        <w:t xml:space="preserve">.............................................................................................................................................. 26  </w:t>
        <w:br/>
        <w:t xml:space="preserve">1. On the insurance markets .............................................................................................. 26  </w:t>
        <w:br/>
        <w:t>a) Horizontal effects ....................................................................................................... 27</w:t>
      </w:r>
    </w:p>
    <w:p>
      <w:r>
        <w:rPr>
          <w:b/>
        </w:rPr>
        <w:t>[Pages 4–6]</w:t>
      </w:r>
    </w:p>
    <w:p>
      <w:r>
        <w:t xml:space="preserve">b) Vertical Effects ..................................................................................................... 27  </w:t>
        <w:br/>
        <w:t xml:space="preserve">2. On Other Markets .................................................................................................. 28  </w:t>
        <w:br/>
        <w:t xml:space="preserve">3. Analysis of Conglomerate Effects ......................................................................... 28  </w:t>
        <w:br/>
        <w:t xml:space="preserve">a) Analysis of Conglomerate Effects on the Markets of Real Estate Credit, Real Estate Development, Real Estate Services, and Insurance ........................................... 28  </w:t>
        <w:br/>
        <w:t xml:space="preserve">b) Analysis of Conglomerate Effects on the Markets of Banking and Insurance .......... 29  </w:t>
        <w:br/>
        <w:t>4</w:t>
      </w:r>
    </w:p>
    <w:p>
      <w:r>
        <w:t xml:space="preserve">I. The Companies Concerned and the Operation  </w:t>
        <w:br/>
        <w:t xml:space="preserve">1. THE PARTIES TO THE OPERATION  </w:t>
        <w:br/>
        <w:t xml:space="preserve">1. The Caisse des dépôts et consignations (hereinafter, the "CDC") is a public institution governed by Articles L. 518-2 et seq. of the Monetary and Financial Code, which fulfills missions of general interest in support of public policies conducted by the State and local authorities (deposits on savings accounts that finance social rental housing and urban renewal, consignments and regulated deposits, pensions, and social security treasuries). The CDC engages in activities open to competition, which are grouped around four sectors: (i) environment, (ii) real estate, (iii) investment and private equity, and (iv) services. Created by the law of April 28, 1816, the CDC is placed "under the supervision and guarantee of the legislative authority," this mode of governance being intended to ensure the autonomy of this institution which manages private funds requiring special protection.  </w:t>
        <w:br/>
        <w:t xml:space="preserve">2. The public limited company La Poste (hereinafter "La Poste") is the historical operator in charge of the public postal service in France. It holds several subsidiaries, which are organized around five main activities: (i) the Service-Mail-Parcels branch, which includes the universal mail service, mail for businesses, and press logistics, (ii) the GeoPost branch, which includes express mail service activities, (iii) the La Banque Postale branch (hereinafter, "LBP") which includes banking and insurance activities for individuals, businesses, and local public actors, (iv) the La Poste Network branch, which includes the network of post offices, and (v) the digital branch. Prior to the proposed operation, La Poste is jointly controlled by the State (73.68%) and by the CDC (26.32%).  </w:t>
        <w:br/>
        <w:t xml:space="preserve">3. CNP Assurances is a public limited company governed by the Insurance Code. It is primarily active in the personal insurance sector in France, notably in savings, retirement, and provident risk. CNP Assurances also has a real estate portfolio as part of its investment activities. Prior to the proposed operation, CNP Assurances is held 40.8% by the CDC, 36.2% by the holding company Sopassure (which is itself jointly held 50.02% by LBP and 49.98% by the BPCE group) and 1.1% by the State. The remaining capital of CNP Assurances, amounting to 21.7%, is held by the public and employees. It follows from this capital distribution, as well as from the statutes and the shareholders' agreement of CNP Assurances, that the latter is not currently a controlled company within the meaning of competition law.  </w:t>
        <w:br/>
        <w:t xml:space="preserve">2. THE OPERATION  </w:t>
        <w:br/>
        <w:t xml:space="preserve">4. The notified operation, formalized by a memorandum of understanding dated July 31, 2019, between the French Republic, the CDC, La Poste, and LBP, consists of the realization of two interdependent operations, within the meaning of paragraphs 63 and following of the Authority's guidelines on the control of concentrations, which will ultimately result in (i) the transition from joint control of La Poste by the State and the CDC to exclusive control of La Poste by the CDC and (ii) the acquisition of exclusive control of CNP Assurances by LBP (and thus, considering the first operation, by the CDC).  </w:t>
        <w:br/>
        <w:t xml:space="preserve">5. The necessary steps for the realization of the operation are as follows: [confidential]2.  </w:t>
        <w:br/>
        <w:t xml:space="preserve">2 [Confidential].  </w:t>
        <w:br/>
        <w:t>5</w:t>
      </w:r>
    </w:p>
    <w:p>
      <w:r>
        <w:t xml:space="preserve">6. At the end of the operation, LBP will therefore be able to adopt, alone, the strategic decisions concerning CNP Assurances3. It will thus exercise exclusive control over the latter, within the meaning of competition law.  </w:t>
        <w:br/>
        <w:t xml:space="preserve">7. Furthermore, given the acquisition of [60-70]% of the capital and voting rights of La Poste by the CDC, the latter will exercise exclusive control over both CNP Assurances and La Poste. Indeed, the CDC will hold the majority of seats on the board of directors of La Poste, as [confidential] directors out of 21 will be appointed by the CDC and will therefore be able to make decisions adopted by a simple majority4. These decisions concern, in particular, the determination and conduct of La Poste's strategy, such as new strategic directions, the business plan, the annual budget, and the financing plan.  </w:t>
        <w:br/>
        <w:t xml:space="preserve">8. It follows from the above that the notified operation is analyzed as the transition from joint control of La Poste by the State and the CDC to exclusive control of La Poste by the CDC and the acquisition of exclusive control of CNP Assurances, which was not controlled prior to the operation, by the CDC. The operation therefore constitutes a concentration within the meaning of Article L. 430-1 of the Commercial Code.  </w:t>
        <w:br/>
        <w:t xml:space="preserve">9. The companies concerned together achieve a total worldwide turnover of more than 150 million euros (CDC: [≥150 million] euros for the fiscal year ending December 31, 2018; La Poste: 24.7 billion euros for the same fiscal year; and CNP Assurances: 32.3 billion euros for the same fiscal year). Each of these companies achieves, in France, a turnover exceeding 50 million euros (CDC: [≥50 million] euros for the fiscal year ending December 31, 2018; La Poste: [≥50 million] euros for the same fiscal year; and CNP Assurances: 21.6 billion euros for the same fiscal year). The notification thresholds of Article 1 paragraph 3 of Regulation (EC) 139/2004 are therefore exceeded, but since each of the concerned companies generates more than two-thirds of its turnover in the Union in France,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10. The activities of the parties overlap primarily in the markets for banking services, local authority financing, insurance, real estate services production, document and data processing for third parties, multi-technical management and maintenance, and in the health and internet access sectors.  </w:t>
        <w:br/>
        <w:t xml:space="preserve">3 No veto right on strategic decisions is provided for the BPCE group, which will hold 16.11% of the capital. No minority shareholder will therefore be able to exert a decisive influence on CNP Assurances at the end of the operation.  </w:t>
        <w:br/>
        <w:t xml:space="preserve">4 According to the new provisions resulting from the law of May 22, 2019, relating to the growth and transformation of companies, known as the PACTE law, the CEO of La Poste is appointed by decree of the President of the Republic from among the three directors designated by the State. He can only be dismissed with the agreement of the majority of the board of directors. Furthermore, he does not have a casting vote within the board of directors. In addition, the State has a veto right limited solely to the preservation of its patrimonial interests and a consultation right whose scope is determined by the memorandum of understanding signed between the CDC, the State, La Poste, and LBP. These provisions are not intended to confer on the State a veto right over the strategic decisions of the company and thereby a decisive influence over La Poste.  </w:t>
        <w:br/>
        <w:t>6</w:t>
      </w:r>
    </w:p>
    <w:p>
      <w:r>
        <w:rPr>
          <w:b/>
        </w:rPr>
        <w:t>[Pages 7–9]</w:t>
      </w:r>
    </w:p>
    <w:p>
      <w:r>
        <w:t>11. The parties are also present, in a secondary capacity, in the markets for real estate asset management, engineering and technical studies, personal services, home health care services, and hospital diagnostics and care offerings, which present vertical or conglomerate links with certain markets in which the parties are active.</w:t>
      </w:r>
    </w:p>
    <w:p>
      <w:r>
        <w:t>A. THE BANKING SERVICES MARKETS</w:t>
      </w:r>
    </w:p>
    <w:p>
      <w:r>
        <w:t>12. The French and European competition authorities distinguish three categories of services within the banking markets: operations on financial markets (investment and financing banking), banking services for businesses (commercial banking), and banking services for individuals and households (retail banking).</w:t>
      </w:r>
    </w:p>
    <w:p>
      <w:r>
        <w:t>13. The Authority has also considered distinguishing a market for intermediation in banking operations, distinct from the markets for the provision of banking services.</w:t>
      </w:r>
    </w:p>
    <w:p>
      <w:r>
        <w:t>14. In this case, the CDC and LBP are simultaneously present in the markets for commercial banking (1.) and retail banking (2.).</w:t>
      </w:r>
    </w:p>
    <w:p>
      <w:r>
        <w:t>1. THE COMMERCIAL BANKING MARKETS</w:t>
      </w:r>
    </w:p>
    <w:p>
      <w:r>
        <w:t>15. Commercial banking encompasses banking services aimed at businesses. The competition authorities have questioned, while leaving the issue open, a segmentation of the commercial banking markets based on the size of client companies (SMEs or large enterprises). The Authority has also considered segmenting the market according to sectors of activity, notably distinguishing a market for credit to farmers.</w:t>
      </w:r>
    </w:p>
    <w:p>
      <w:r>
        <w:t>16. Regarding segmentation by type of services, the Authority has distinguished the following markets:</w:t>
        <w:br/>
        <w:t>• sight deposits,</w:t>
        <w:br/>
        <w:t>• corporate savings,</w:t>
        <w:br/>
        <w:t>• investment loans,</w:t>
        <w:br/>
        <w:t>• real estate credit for professionals,</w:t>
        <w:br/>
        <w:t>• leasing,</w:t>
        <w:br/>
        <w:t>• credit to local authorities,</w:t>
        <w:br/>
        <w:t>• credit insurance,</w:t>
        <w:br/>
        <w:t>• financing of foreign trade,</w:t>
        <w:br/>
        <w:t>• payment cards,</w:t>
      </w:r>
    </w:p>
    <w:p>
      <w:r>
        <w:t>• international payments,</w:t>
        <w:br/>
        <w:t>• remote local payments,</w:t>
        <w:br/>
        <w:t>• short-term financing products,</w:t>
        <w:br/>
        <w:t>• factoring,</w:t>
        <w:br/>
        <w:t>• custody, and</w:t>
        <w:br/>
        <w:t>• fund administration8.</w:t>
      </w:r>
    </w:p>
    <w:p>
      <w:r>
        <w:t>There is no need, in the context of this operation, to challenge this delineation of the commercial banking markets.</w:t>
      </w:r>
    </w:p>
    <w:p>
      <w:r>
        <w:t>17. Regarding their geographical dimension, the Authority has always conducted its competitive analysis at both the national and local levels9.</w:t>
      </w:r>
    </w:p>
    <w:p>
      <w:r>
        <w:t>18. In this case, the CDC does not have its own network of branches distributed across the national territory, as it relies, for the provision of services related to its commercial banking activity, on its own network of regional management (representing a total of 35 locations) and, on the other hand, on the network of the public treasury, which it does not control. Consequently, the analysis will be conducted solely at the national level, the level at which the overlap of the parties' activities primarily occurs. In this case, the CDC and LBP are simultaneously active in the markets for sight deposits, corporate savings, investment loans, short-term financing for businesses, real estate credit for professionals, social housing credit, leasing, credit to local authorities, payment cards, international payments, and remote local payments.</w:t>
      </w:r>
    </w:p>
    <w:p>
      <w:r>
        <w:t>2. THE RETAIL BANKING MARKETS</w:t>
      </w:r>
    </w:p>
    <w:p>
      <w:r>
        <w:t>19. It follows from the consistent decision-making practice of the Authority10 that retail banking encompasses banking services aimed at individuals and households. Furthermore, entrepreneurs have been considered as clients of retail banking, as their needs are closer to those of individuals than to those of commercial companies.</w:t>
      </w:r>
    </w:p>
    <w:p>
      <w:r>
        <w:t>20. For this entire clientele, the following markets have been defined:</w:t>
        <w:br/>
        <w:t>• sight deposits,</w:t>
        <w:br/>
        <w:t>• banking savings (savings bonds, term accounts, etc.),</w:t>
        <w:br/>
        <w:t>• off-balance-sheet savings (SICAVs, FCPs, and pension funds),</w:t>
        <w:br/>
        <w:t>• real estate credit,</w:t>
        <w:br/>
        <w:t>• consumer credit,</w:t>
        <w:br/>
        <w:t>• debt restructuring credit,</w:t>
        <w:br/>
        <w:t>• issuance of payment cards,</w:t>
        <w:br/>
        <w:t>• private banking, and</w:t>
      </w:r>
    </w:p>
    <w:p>
      <w:r>
        <w:t>• securities custody.</w:t>
      </w:r>
    </w:p>
    <w:p>
      <w:r>
        <w:t>21. There is no need, in the context of this operation, to challenge this delineation.</w:t>
      </w:r>
    </w:p>
    <w:p>
      <w:r>
        <w:t>22. Regarding the geographical dimension of these markets, the Authority generally considers that they are at most of national scope, despite some European harmonization11. It has also noted that the proximity of branches, within which advisors played a role as prescribers, was an important factor of competition, as retail banking activities are, to this day, based on human interactions12. During an @Scale event dedicated to finance and digital players13, the Governor of the Bank of France indicated that branches still play an important role in the structure of retail banking offerings, despite the significant development of online banks observed over the past decade. Furthermore, the competitive conditions in the national territory are not homogeneous, particularly given the significant role held by mutual and cooperative networks in the French banking system, differences in the presence of banking groups, the adaptation of commercial strategies to the local competitive context, and the existence of regional banking brands.</w:t>
      </w:r>
    </w:p>
    <w:p>
      <w:r>
        <w:t>23. However, given the absence of a local network of bank branches owned by the CDC, the analysis has been conducted at the national level.</w:t>
      </w:r>
    </w:p>
    <w:p>
      <w:r>
        <w:t>24. In this case, the CDC and LBP are simultaneously active in the markets for sight deposits, banking savings, real estate credit, and the issuance of payment cards.</w:t>
      </w:r>
    </w:p>
    <w:p>
      <w:r>
        <w:t>B. FINANCING LOCAL AUTHORITIES</w:t>
      </w:r>
    </w:p>
    <w:p>
      <w:r>
        <w:t>25. The Authority has distinguished a market for financing local authorities, which concerns the activity of lending to local authorities and other public law entities, their offshoots, and the concessionary companies responsible for managing a public service, as well as financing major equipment and infrastructure14.</w:t>
      </w:r>
    </w:p>
    <w:p>
      <w:r>
        <w:t>26. The delineation of such a market, also considered by the Commission15, is based on several factors. Firstly, local authorities form a clearly identified clientele that is distinct from that of businesses and individuals or households. Furthermore, loans are generally of a relatively long duration (10 to 15 years) and granted in the currency of the country in which they are located (foreign currency loans remain the exception). In addition, loans to local authorities are generally not secured by any collateral. Moreover, the borrowing of local authorities is subject to specific and binding legal rules. Finally, in all Member States, there are certain institutions specialized in lending to local authorities.</w:t>
      </w:r>
    </w:p>
    <w:p>
      <w:r>
        <w:t>27. However, it follows from the Commission's decision-making practice regarding state aid that financing activities whose allocation conditions are defined by the State do not constitute economic activities and that, as such, the question of analyzing the effects</w:t>
      </w:r>
    </w:p>
    <w:p>
      <w:r>
        <w:rPr>
          <w:b/>
        </w:rPr>
        <w:t>[Pages 10–12]</w:t>
      </w:r>
    </w:p>
    <w:p>
      <w:r>
        <w:t>concurrential aspects of a concentration operation involving the CDC in such markets arise.</w:t>
      </w:r>
    </w:p>
    <w:p>
      <w:r>
        <w:t>28. Indeed, the Commission has notably considered that the guarantees granted by a national fund under preferential market conditions, as is the case with the CDC, do not constitute an economic activity as long as they are granted to public entities in certain strictly defined sectors such as housing or public services. The Commission thus considered that due to the strict regulation of the conditions under which loans were granted, such a fund was not able to compete with commercial banks16.</w:t>
      </w:r>
    </w:p>
    <w:p>
      <w:r>
        <w:t>29. Furthermore, the Authority considered that the financing activity of the CDC in the social housing sector did not constitute a market activity17. Indeed, the Authority noted that this activity was carried out on behalf of and in accordance with objectives set by the State under conditions defined by the Monetary and Financial Code.</w:t>
      </w:r>
    </w:p>
    <w:p>
      <w:r>
        <w:t>30. Such reasoning is transposable in this case to the financing activities carried out by the CDC. Firstly, the financing activities of public authorities by the CDC fall under the same legislative framework as the financing of social housing through the "Fonds d’Épargne18" governed by Articles L. 221-5 and L. 221-7 of the Monetary and Financial Code. Furthermore, the general interest mission of the CDC is enshrined in the provisions of the Monetary and Financial Code19.</w:t>
      </w:r>
    </w:p>
    <w:p>
      <w:r>
        <w:t>31. Secondly, the loans granted by the CDC have significantly different characteristics from the loans granted to local authorities by commercial banks. Firstly, pursuant to Article L. 221-7 of the Monetary and Financial Code, "the uses of the savings fund are determined by the minister responsible for the economy." Secondly, the financing provided by the CDC is always linked to a specific public policy conducted by the State. Thus, the CDC stated during the investigation that the latest allocations concerned local projects in the areas of mobility, education, or energy renovation of public buildings. The CDC also specified that the allocations were opened for a total amount and for a specific duration, set by the minister responsible for the economy. Thirdly, it follows from the provisions of the Monetary and Financial Code that the CDC does not receive any remuneration for the management of the savings fund other than the reimbursement of management fees20. Fourthly, the CDC specified that the characteristics of the financing it grants are defined by the State, through the ministry responsible for the economy, which specifies the purpose, rate, and duration. The granting of financing essentially depends on the type of project presented to the CDC within the framework of the implementation of a specific allocation. According to the CDC, unlike commercial banks that can allow local authorities to finance their borrowing needs without requiring them to define them precisely, financing by the CDC is necessarily linked to a specific project that must fall under one of the ongoing allocations. Fifthly, the pricing of loans does not fall under the same mechanisms as those defined by commercial banks. Indeed, the pricing applied by the CDC is set independently of the size of the authority, its location, its creditworthiness, or the duration, but based on quantitative parameters specific to each project21. Finally, the duration of the financing granted by the CDC is significantly longer than that of commercial banks. Thus, since June 2018, the minister responsible for the economy has imposed a minimum duration of loans granted by the CDC of 25 years. Furthermore, the CDC can also finance loans for much longer durations, up to 80 years. By comparison, commercial banks grant loans to local authorities for an average duration of 18.3 years.</w:t>
      </w:r>
    </w:p>
    <w:p>
      <w:r>
        <w:t>32. Thirdly, the financing activities of the CDC are not intended to replace market financing but either to address the failures of the latter, as recalled by the minister responsible for the economy22, or to enable the implementation of a financing dynamic. In this regard, during the hearing of its representatives, the CDC confirmed that the existence of co-financing of the project with a commercial bank was one of the conditions for granting the loan by the CDC. Thus, unless exempted by the minister, the share of financing by the CDC is a maximum of 50%. Furthermore, the CDC estimates that only 2% of the credits granted to local authorities are financed exclusively by the public sector. The CDC confirmed that this financing concerned specific cases, particularly in cases of proven difficulties for local authorities to access private financing.</w:t>
      </w:r>
    </w:p>
    <w:p>
      <w:r>
        <w:t>33. For all these reasons, it should be considered that the financing activity of local authorities by the CDC does not constitute an economic activity on the market. Consequently, within the framework of the present operation, it should be considered that only La Poste is present in the market for credit to local authorities, as defined by decision-making practice. This market will be taken into account in the analysis of the conglomerate effects of the operation.</w:t>
      </w:r>
    </w:p>
    <w:p>
      <w:r>
        <w:t>C. INSURANCE MARKETS</w:t>
      </w:r>
    </w:p>
    <w:p>
      <w:r>
        <w:t>34. The Authority distinguishes between reinsurance activities (1.), insurance production activities (2.), and distribution of insurance for third parties (3.).</w:t>
      </w:r>
    </w:p>
    <w:p>
      <w:r>
        <w:t>1. REINSURANCE MARKETS</w:t>
      </w:r>
    </w:p>
    <w:p>
      <w:r>
        <w:t>35. The Authority defines reinsurance as a particular form of insurance whereby the reinsurer assumes all or part of the risks insured by the primary insurer23. This mechanism allows primary insurers to increase the number of insured parties and to spread risks over time and across a wider geographical area. The Commission also considers that reinsurance constitutes a distinct market due to the specificity of its object (the distribution of risks among insurers) and the less stringent regulatory constraints on this activity. Finally, property reinsurance has been distinguished from life reinsurance, and for each type of damage, potential additional segmentations have been considered based on the different categories of risks covered24.</w:t>
      </w:r>
    </w:p>
    <w:p>
      <w:r>
        <w:t>36. In any event, the question of the exact definition of these service markets can be left open, as the competitive analysis remains unchanged regardless of the definition adopted.</w:t>
      </w:r>
    </w:p>
    <w:p>
      <w:r>
        <w:t>37. It follows from decision-making practice that the reinsurance market is global in scope, particularly considering the distribution of risks at this level25.</w:t>
      </w:r>
    </w:p>
    <w:p>
      <w:r>
        <w:t>38. In this case, LBP and CNP are simultaneously present in the personal reinsurance market, notably in the segments of provident reinsurance, supplementary health reinsurance, and borrower reinsurance.</w:t>
      </w:r>
    </w:p>
    <w:p>
      <w:r>
        <w:t>2. INSURANCE PRODUCTION MARKETS</w:t>
      </w:r>
    </w:p>
    <w:p>
      <w:r>
        <w:t>39. The insurance production markets are downstream from the reinsurance markets and upstream from the distribution markets for third parties26.</w:t>
      </w:r>
    </w:p>
    <w:p>
      <w:r>
        <w:t>40. The Authority consistently distinguishes between the markets for life insurance and those for property insurance (goods and liability), each of which can in turn be sub-segmented into as many markets as there are insurances covering the different types of risks or contracts, insofar as, from the demand perspective, these insurances or contracts do not meet the same needs and are therefore not substitutable27.</w:t>
      </w:r>
    </w:p>
    <w:p>
      <w:r>
        <w:t>41. Regarding the markets for life insurance, the Authority has notably identified the market for savings and life insurance, which encompasses all financial products offered under optional capital or annuity insurance and life insurance products28. Thus, the markets for supplementary health insurance29, provident insurance30, dependency31, death insurance32, funeral insurance33, and borrower insurance34 have notably been distinguished, on which the parties are simultaneously present. Furthermore, CNP is also active in the insurance markets.</w:t>
      </w:r>
    </w:p>
    <w:p>
      <w:r>
        <w:rPr>
          <w:b/>
        </w:rPr>
        <w:t>[Pages 13–15]</w:t>
      </w:r>
    </w:p>
    <w:p>
      <w:r>
        <w:t>life35 and retirement savings36 which will be analyzed in terms of the vertical and conglomerate effects of the operation.</w:t>
      </w:r>
    </w:p>
    <w:p>
      <w:r>
        <w:t>42. Regarding the markets for damage insurance, the Authority notably distinguished the markets for "life accident guarantee" insurance37 and payment means insurance38 on which LBP and CNP are simultaneously present. Furthermore, LBP is also active in the markets for automobile insurance, multi-risk home insurance, liability insurance, legal protection, and warranty extension, which will be analyzed in terms of the vertical and conglomerate effects of the operation.</w:t>
      </w:r>
    </w:p>
    <w:p>
      <w:r>
        <w:t>43. Additional segmentations have been considered within personal insurance between collective insurance contracts, concluded between an insurer and a subscriber distinct from the beneficiary, and individual insurance contracts for which the subscriber is also the beneficiary. Similarly, within damage insurance, insurance for individuals is distinguished from insurance for professionals.</w:t>
      </w:r>
    </w:p>
    <w:p>
      <w:r>
        <w:t>44. Finally, the Authority also identified several markets that may constitute distinct guarantees or ancillary services to insurance contracts (whether damage or personal insurance) or for the benefit of the insured: the acquisition guarantee market39, employee savings40, personal services41, and assistance42 which includes (i) medical assistance (medical repatriation, coverage of medical expenses abroad), (ii) domestic assistance (childcare, delivery of medications), (iii) technical assistance (repair services, loan of replacement vehicles), and (iv) home assistance43. In this case, the parties are simultaneously present in the employee savings, assistance, and personal services markets.</w:t>
      </w:r>
    </w:p>
    <w:p>
      <w:r>
        <w:t>45. Regarding the geographical delineation of the insurance production markets, it follows from decision-making practice44 that, with the exception of certain insurances covering large-scale risks, insurance product markets are considered to be of national scope, taking into account consumer preferences, the existence of national legislation and tax constraints, the current structure of these markets, and their regulatory systems.</w:t>
      </w:r>
    </w:p>
    <w:p>
      <w:r>
        <w:t>46. In any event, the question of the exact delineation of the insurance production markets can be left open, as the conclusions of the competitive analysis remain unchanged regardless of the segmentation adopted.</w:t>
      </w:r>
    </w:p>
    <w:p>
      <w:r>
        <w:t>35 Decisions n° 10-DCC-52 cited above and n° 16-DCC-212 of December 15, 2016, regarding the exclusive control of the company Antarius by the Société Générale group.</w:t>
      </w:r>
    </w:p>
    <w:p>
      <w:r>
        <w:t>36 Decision of the Authority n° 13-DCC-126 of September 5, 2013, regarding the acquisition of control of the company Sofaxis by the mutual insurance company Sham.</w:t>
      </w:r>
    </w:p>
    <w:p>
      <w:r>
        <w:t>37 Decision of the Authority n° 09-DCC-16 of June 22, 2009, regarding the merger between the Caisse d’Épargne and Banque Populaire groups.</w:t>
      </w:r>
    </w:p>
    <w:p>
      <w:r>
        <w:t>38 Decision n° 09-DCC-16 cited above.</w:t>
      </w:r>
    </w:p>
    <w:p>
      <w:r>
        <w:t>39 Decision of the Authority n° 11-DCC-186 of December 14, 2011, regarding the affiliation of the Mutuelle Civile de la Défense to the mutualist union of the Istya group.</w:t>
      </w:r>
    </w:p>
    <w:p>
      <w:r>
        <w:t>40 Decision of the Authority n° 13-DCC-194 of December 17, 2013, regarding the joint acquisition of Sogestop N by the CNP and Humanis groups.</w:t>
      </w:r>
    </w:p>
    <w:p>
      <w:r>
        <w:t>41 Decision n° 16-DCC-34 cited above.</w:t>
      </w:r>
    </w:p>
    <w:p>
      <w:r>
        <w:t>42 Decision of the Authority n° 11-DCC-163 of November 9, 2011, regarding the exclusive control by SMABTP and Auxiliaire of a portfolio of corporate vehicle fleet insurance contracts.</w:t>
      </w:r>
    </w:p>
    <w:p>
      <w:r>
        <w:t>43 Decision of the Authority n° 18-DCC-164 of October 12, 2018, regarding the exclusive control of the company Servicios Compartidos Multiasistencia by Allianz Partners.</w:t>
      </w:r>
    </w:p>
    <w:p>
      <w:r>
        <w:t>44 Decision n° 10-DCC-52 cited above.</w:t>
      </w:r>
    </w:p>
    <w:p>
      <w:r>
        <w:t>3. THE MARKETS FOR INSURANCE DISTRIBUTION ON BEHALF OF THIRD PARTIES</w:t>
      </w:r>
    </w:p>
    <w:p>
      <w:r>
        <w:t>47. The distribution of insurance products on behalf of third parties consists of marketing and ensuring the administrative management of guarantees or insurance contracts whose risk is borne by third-party insurers45.</w:t>
      </w:r>
    </w:p>
    <w:p>
      <w:r>
        <w:t>48. It follows from national decision-making practice46 that it is possible to consider a broad market for the distribution of insurance products by independent intermediaries, encompassing all distribution channels: agents, brokers, and other intermediaries (including banks), with the exception, however, of direct distribution by insurance companies47. A narrower market limited to insurance brokerage and including only this distribution channel has also been considered48.</w:t>
      </w:r>
    </w:p>
    <w:p>
      <w:r>
        <w:t>49. Furthermore, segmentations based on clientele (businesses or individuals) and major categories of insured risks (damage insurance and personal insurance) have also been considered due to their low substitutability from the demand side.</w:t>
      </w:r>
    </w:p>
    <w:p>
      <w:r>
        <w:t>50. Regarding their geographical delineation, the markets for insurance distribution on behalf of third parties have been considered essentially to be of national scope49.</w:t>
      </w:r>
    </w:p>
    <w:p>
      <w:r>
        <w:t>51. In any event, the question of the exact delineation of the markets for insurance distribution on behalf of third parties can be left open, as regardless of the delineation adopted, the conclusions of the competitive analysis remain unchanged.</w:t>
      </w:r>
    </w:p>
    <w:p>
      <w:r>
        <w:t>52. In this case, the parties are present in the market for the distribution of personal insurance on behalf of third parties. Only the CDC is present in the brokerage market.</w:t>
      </w:r>
    </w:p>
    <w:p>
      <w:r>
        <w:t>D. THE REAL ESTATE MARKETS</w:t>
      </w:r>
    </w:p>
    <w:p>
      <w:r>
        <w:t>53. The parties are present in the real estate services markets (1), as well as in related markets, such as the multi-technical management and maintenance markets (2) and engineering and technical studies markets (3).</w:t>
      </w:r>
    </w:p>
    <w:p>
      <w:r>
        <w:t>1. THE MARKETS FOR REAL ESTATE SERVICES</w:t>
      </w:r>
    </w:p>
    <w:p>
      <w:r>
        <w:t>a) The service markets</w:t>
      </w:r>
    </w:p>
    <w:p>
      <w:r>
        <w:t>54. National50 and European51 competition authorities have considered different market segmentations in the real estate services sector according to (i) the recipients of the services, with properties being intended either for individuals, where the concerned buildings are for residential use, or for businesses, where the concerned buildings are for commercial or professional use, (ii) the pricing method (free residential real estate and social or intermediate housing), (iii) the type of activity carried out in the premises (offices, commercial premises, and other activity premises such as warehouses or hotels), and (iv) the nature of the services or goods offered.</w:t>
      </w:r>
    </w:p>
    <w:p>
      <w:r>
        <w:t>55. For this last segmentation, the following services have been identified:</w:t>
        <w:br/>
        <w:t>(i) real estate promotion, which includes construction and sale activities of real estate properties;</w:t>
        <w:br/>
        <w:t>(ii) management of real estate assets for one's own account;</w:t>
        <w:br/>
        <w:t>(iii) management of real estate assets on behalf of third parties (institutional investors, mainly banks and insurance companies) which covers advice and management of real estate portfolios (arbitration and asset valuation), structuring of real estate investment operations, and management of real estate assets and specialized investment vehicles (notably real estate civil companies);</w:t>
        <w:br/>
        <w:t>(iv) property management, which covers the activities of managing properties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rental operations.</w:t>
      </w:r>
    </w:p>
    <w:p>
      <w:r>
        <w:t>56. Within the management of residential real estate assets for one's own account, the Minister responsible for the economy has considered that it is appropriate to distinguish "the management of social housing insofar as this activity evolves within a specific regulatory framework, through which the State plays an important role, both in terms of financial aid and allocation of...</w:t>
      </w:r>
    </w:p>
    <w:p>
      <w:r>
        <w:rPr>
          <w:b/>
        </w:rPr>
        <w:t>[Pages 16–18]</w:t>
      </w:r>
    </w:p>
    <w:p>
      <w:r>
        <w:t>housing"52. This distinction is still relevant. Indeed, the management of the social rental housing stock is regulated by the State through agreements concluded with low-rent housing organizations53 (referred to as "APL agreements"). Companies, referred to as social housing organizations (OLS), are subject to the control of the National Agency for the Control of Social Housing (ANCOLS)54. There are 755 social landlords (or "HLM organizations") in France, which are divided into three categories: (i) 275 public housing offices (OPH) created and managed by local authorities (municipalities, intermunicipalities, departments)55, (ii) 278 social housing companies (ESH) of private non-profit law56, of which 72 belong to the Action Logement group, and (iii) 168 cooperatives for low-rent housing57.</w:t>
      </w:r>
    </w:p>
    <w:p>
      <w:r>
        <w:t>57. The main characteristic of the social rental housing stock is to offer targeted populations, subject to income conditions58, housing at rents significantly lower than those practiced in the private rental market59, with allocation decided by an allocation committee.</w:t>
      </w:r>
    </w:p>
    <w:p>
      <w:r>
        <w:t>58. The Minister responsible for the economy has also considered distinguishing social housing from intermediate rental housing on the grounds that "intermediate rental housing presents economic characteristics comparable to those of social housing, the main difference being the absence of regulations imposing income ceilings or rent limitations. Such constraints do exist, but they result from 'reservation agreements' often concluded for long durations, ranging from 9 to 15 years, with reservists (local or national public administrations, national companies), for the benefit of their officials or permanent agents."60</w:t>
      </w:r>
    </w:p>
    <w:p>
      <w:r>
        <w:t>59. In any event, the exact delineation of these markets can be left open, as the conclusions of the competitive analysis remain unchanged regardless of the delineations adopted.</w:t>
      </w:r>
    </w:p>
    <w:p>
      <w:r>
        <w:t>60. In this case, the CDC and La Poste are simultaneously present in the markets for real estate development, real estate consulting, and asset management for their own account, in which CNP is also present. Furthermore, La Poste is also active in the markets for asset management on behalf of third parties and for intermediation in rental operations.</w:t>
      </w:r>
    </w:p>
    <w:p>
      <w:r>
        <w:t>52 Letter from the Minister dated June 21, 2002, regarding the creation of the joint venture Eulia between the Caisse des dépôts et consignations and the Caisse nationale des caisses d’épargne; letter from the Minister dated November 8, 2002, to the boards of the company Gécina regarding a concentration in the real estate asset sector.</w:t>
      </w:r>
    </w:p>
    <w:p>
      <w:r>
        <w:t>53 Pursuant to the second paragraph of Article L. 351-2 of the Construction and Housing Code (hereinafter CCH).</w:t>
      </w:r>
    </w:p>
    <w:p>
      <w:r>
        <w:t>54 See Articles L. 342-1 to L. 342-21 of the CCH.</w:t>
      </w:r>
    </w:p>
    <w:p>
      <w:r>
        <w:t>55 See Articles L. 421-1 to L. 421-26 of the CCH.</w:t>
      </w:r>
    </w:p>
    <w:p>
      <w:r>
        <w:t>56 These are the former public limited companies for low-rent housing (SAHLM); see Articles L. 421-2 to L. 421-2-1 of the Construction and Housing Code.</w:t>
      </w:r>
    </w:p>
    <w:p>
      <w:r>
        <w:t>57 See Articles L. 422-3 to L. 422-3-2 of the CCH.</w:t>
      </w:r>
    </w:p>
    <w:p>
      <w:r>
        <w:t>58 Article R. 331-12 of the CCH makes the allocation of grants and loans for social housing construction conditional on the occupancy of social housing by individuals whose total resources, at the time of entry into the premises, are below ceilings set each year by ministerial decree.</w:t>
      </w:r>
    </w:p>
    <w:p>
      <w:r>
        <w:t>59 On average, rents in the social housing sector are half those in the private sector.</w:t>
      </w:r>
    </w:p>
    <w:p>
      <w:r>
        <w:t>60 Letter from the Minister of Economy, Finance, and Industry dated January 10, 2007, to the board of the Société Nationale Immobilière group, regarding a concentration in the sector of development and management of real estate primarily for residential purposes, BOCCRF No. 3bis of March 23, 2007.</w:t>
      </w:r>
    </w:p>
    <w:p>
      <w:r>
        <w:t>b) Geographic Markets</w:t>
      </w:r>
    </w:p>
    <w:p>
      <w:r>
        <w:t>61. The Authority considers that the markets for real estate services aimed at individuals are of local scope61. In contrast, operations related to markets for real estate services aimed at businesses have been analyzed at both the local and national levels62.</w:t>
      </w:r>
    </w:p>
    <w:p>
      <w:r>
        <w:t>62. Specifically regarding the market for the ownership and management for one's own account of real estate assets, the competitive analysis is conducted at the regional or sub-regional level. Regarding the real estate development market, the geographic dimension considered is regional or sub-regional for regions outside Île-de-France.</w:t>
      </w:r>
    </w:p>
    <w:p>
      <w:r>
        <w:t>63. In any case, the question of the exact geographic delineation of the markets in the real estate sector can be left open, as the conclusions of the competitive analysis remain unchanged, regardless of the delineations adopted.</w:t>
      </w:r>
    </w:p>
    <w:p>
      <w:r>
        <w:t>64. In this case, the analysis will be conducted at the regional level, in Île-de-France, Nouvelle Aquitaine, Auvergne Rhône Alpes, PACA, Brittany, Occitanie, Grand Est, Pays de la Loire, and Hauts de France.</w:t>
      </w:r>
    </w:p>
    <w:p>
      <w:r>
        <w:t>2. MARKETS FOR MULTI-TECHNICAL MANAGEMENT AND MAINTENANCE</w:t>
      </w:r>
    </w:p>
    <w:p>
      <w:r>
        <w:t>65. The European63 and national competition authorities64 have defined the market for multi-technical management and maintenance as encompassing "the activities of maintenance and optimization of the performance of all technical installations present at clients who operate buildings and wish to delegate their management. The entirety of the technical installations includes (depending on the building) boilers and climate systems, mechanical installations (piping, boiler-making, machining), electrical networks, and everything related to industrial process tools."</w:t>
      </w:r>
    </w:p>
    <w:p>
      <w:r>
        <w:t>66. They have also defined a market for energy management services including activities related to consulting on reducing energy consumption, implementing energy management systems, assisting in energy supply, and managing and maintaining equipment related to clients' energy consumption, with the aim of reducing clients' energy consumption65.</w:t>
      </w:r>
    </w:p>
    <w:p>
      <w:r>
        <w:t>67. The Commission noted that providers often supply both technical management or maintenance services for buildings and energy management66. It indicates that "competitors often provide both energy efficiency services such as renovation and works aimed at improving the building envelope and the efficiency of energy production systems, the installation and management of smart measurement systems, control and monitoring of energy consumption, management/maintenance services for climate systems (heating and air conditioning), management/maintenance services for mechanical installations (piping, boiler-making, machining), general site and building management services, or optimization of industrial processes. They also provide management/maintenance services for electrical systems."</w:t>
      </w:r>
    </w:p>
    <w:p>
      <w:r>
        <w:t>68. All of these services form a single market for multi-technical management/maintenance, as decision-making practice does not consider it necessary to distinguish energy optimization services from other multi-technical management and maintenance services67. Thus, specific contracts for energy consumption optimization services known as "energy performance contracts" ("CPE") must be included in the market for multi-technical management/maintenance68. Even if energy optimization services and multi-technical management/maintenance "are generally tailored offers for each client or building, the majority of competitors are able to offer comprehensive offers that include both energy optimization and multi-technical management/maintenance."</w:t>
      </w:r>
    </w:p>
    <w:p>
      <w:r>
        <w:t>69. The Commission considers that it is not relevant to make other distinctions (by type of clients, buildings, or services)69.</w:t>
      </w:r>
    </w:p>
    <w:p>
      <w:r>
        <w:t>70. This market has a national delineation70.</w:t>
      </w:r>
    </w:p>
    <w:p>
      <w:r>
        <w:t>71. There is no need to challenge this delineation in the context of the present operation.</w:t>
      </w:r>
    </w:p>
    <w:p>
      <w:r>
        <w:t>72. In this case, the parties are simultaneously active in the market for multi-technical management and maintenance, including energy optimization services.</w:t>
      </w:r>
    </w:p>
    <w:p>
      <w:r>
        <w:t>3. THE MARKET FOR ENGINEERING AND TECHNICAL STUDIES</w:t>
      </w:r>
    </w:p>
    <w:p>
      <w:r>
        <w:t>73. Engineering and technical studies services correspond to all services throughout the life cycle of a product (R&amp;D, development, engineering and process, implementation, operation, and maintenance)71. These services concern many economic sectors, such as industry, energy, transport, environment, construction, and public services.</w:t>
      </w:r>
    </w:p>
    <w:p>
      <w:r>
        <w:t>74. National and European competition authorities have studied several segmentations of this market without definitively resolving the issue72.</w:t>
      </w:r>
    </w:p>
    <w:p>
      <w:r>
        <w:t>75. They have thus considered defining a market for technology consulting and a market for project management assistance, distinct from other engineering and technical studies services.</w:t>
      </w:r>
    </w:p>
    <w:p>
      <w:r>
        <w:rPr>
          <w:b/>
        </w:rPr>
        <w:t>[Pages 19–21]</w:t>
      </w:r>
    </w:p>
    <w:p>
      <w:r>
        <w:t>techniques73. They have also segmented the engineering services market based on the sectors of intervention, distinguishing between the aerospace, defense, telecommunications, energy, rail, transport, industry, banking, and insurance sectors74. For some of these sectors, such as aerospace, the Commission considered a sub-segmentation between general technical studies and specialized technical studies75.</w:t>
      </w:r>
    </w:p>
    <w:p>
      <w:r>
        <w:t>76. The Authority considers that the markets for engineering and technical studies are generally of national scope76. However, it has considered that these markets could be of sub-national scope77, depending on the type of clientele and the missions concerned.</w:t>
      </w:r>
    </w:p>
    <w:p>
      <w:r>
        <w:t>77. The question of the exact delineation of the engineering and technical studies markets can, however, be left open insofar as the conclusions of the competitive analysis remain unchanged regardless of the assumption adopted.</w:t>
      </w:r>
    </w:p>
    <w:p>
      <w:r>
        <w:t>78. In this case, only the CDC is present in these markets, which have a vertical link with the real estate services markets.</w:t>
      </w:r>
    </w:p>
    <w:p>
      <w:r>
        <w:t>E. THE MARKETS FOR DOCUMENT AND DATA PROCESSING ON BEHALF OF THIRD PARTIES</w:t>
      </w:r>
    </w:p>
    <w:p>
      <w:r>
        <w:t>79. Document and data processing allows for the receipt of documents or data, their integration into an information system (capture, management, and storage), their provision to the client in the form they desire (physical or digital), and their dissemination internally or externally. This process thus integrates the processing of incoming, circulating, and outgoing flows of documents and data from companies or administrations that can either manage the process internally or delegate all or part of the management to external service providers.</w:t>
      </w:r>
    </w:p>
    <w:p>
      <w:r>
        <w:t>80. The competition authorities have considered it appropriate to distinguish two markets: on the one hand, the market for incoming document and data processing (opening of mail, sorting and digitization, integration into the information system); on the other hand, the market for outgoing document and data processing (all services that are part of the process of handling postal shipments)78.</w:t>
      </w:r>
    </w:p>
    <w:p>
      <w:r>
        <w:t>81. The Authority has estimated that the markets for document and data processing are of national scope79.</w:t>
      </w:r>
    </w:p>
    <w:p>
      <w:r>
        <w:t>82. There is no need to challenge this market delineation within the framework of the present operation.</w:t>
      </w:r>
    </w:p>
    <w:p>
      <w:r>
        <w:t>73 Decision of the Authority No. 16-DCC-183 of November 25, 2016, regarding the exclusive control of Latécoère Services by the ADF group.</w:t>
      </w:r>
    </w:p>
    <w:p>
      <w:r>
        <w:t>74 Letter from the Minister of Economy dated November 27, 2003, and decisions No. 11-DCC-131 and No. 14-DCC-08 cited above.</w:t>
      </w:r>
    </w:p>
    <w:p>
      <w:r>
        <w:t>75 Decision COMP/M.2645 cited above.</w:t>
      </w:r>
    </w:p>
    <w:p>
      <w:r>
        <w:t>76 Decisions No. 10-DCC-164 and No. 17-DCC-90 cited above.</w:t>
      </w:r>
    </w:p>
    <w:p>
      <w:r>
        <w:t>77 Decisions No. 09-DCC-71, No. 16-DCC-183, and No. 17-DCC-90 cited above.</w:t>
      </w:r>
    </w:p>
    <w:p>
      <w:r>
        <w:t>78 Letter from Minister C2008-95 dated October 30, 2008, to the boards of Doc@Post and decision No. 11-DCC-32 cited above.</w:t>
      </w:r>
    </w:p>
    <w:p>
      <w:r>
        <w:t>79 Decision No. 11-DCC-32 cited above.</w:t>
      </w:r>
    </w:p>
    <w:p>
      <w:r>
        <w:t>F. THE RETAIL MARKETS FOR INTERNET ACCESS</w:t>
      </w:r>
    </w:p>
    <w:p>
      <w:r>
        <w:t>83. In the retail market for fixed internet access provision, the offers from internet service providers meet the demand from end consumers (or "mass" clientele, according to Arcep terminology). This market includes not only internet access offers in the strict sense but also offers that include, in addition to internet access, fixed telephony (2P) or access to television services (3P), or even mobile telephony services (4P)80.</w:t>
      </w:r>
    </w:p>
    <w:p>
      <w:r>
        <w:t>84. The Authority distinguishes between the market for low-speed internet access provision (via the switched telephone network) and the market for internet access provision (via ADSL, cable, and fiber technologies)81.</w:t>
      </w:r>
    </w:p>
    <w:p>
      <w:r>
        <w:t>85. The Authority distinguishes, in this market, a segment of residential clientele and a segment of professional clientele82. The "professional" clientele consists of customers using internet access for professional purposes but whose needs are similar to those of residential clientele, and who differ from "business" clients by their lesser sensitivity to services dedicated to businesses (notably recovery time guarantees).</w:t>
      </w:r>
    </w:p>
    <w:p>
      <w:r>
        <w:t>86. The Authority has also considered a distinction based on the type of services offered, with the market for high and very high-speed internet access provision including, in addition to internet access, all high and very high-speed services, namely voice over IP services and television83. These services are generally offered as part of a multi-service package known as "triple-play" (or "3P").</w:t>
      </w:r>
    </w:p>
    <w:p>
      <w:r>
        <w:t>87. The Authority retains a national dimension for the retail market for internet access provision.</w:t>
      </w:r>
    </w:p>
    <w:p>
      <w:r>
        <w:t>88. In its decision No. 19-DCC-199 cited above, the Authority questioned the relevance of analyzing retail distribution both in the market for internet access provision and in the market for retail distribution of internet access.</w:t>
      </w:r>
    </w:p>
    <w:p>
      <w:r>
        <w:t>89. Indeed, all players present in the market for internet access provision are active in the market for internet access distribution. However, some players exclusively distribute internet access offers, such as certain specialized retail outlets84 or large food retailers85. However, these distributors have no commercial autonomy over the composition and pricing of the offers they provide. Consequently, they do not constitute independent players from the telecommunications operators whose offers they distribute. Thus, in the market for internet access distribution, market shares and competitive analysis are identical to those of the market for internet access provision.</w:t>
      </w:r>
    </w:p>
    <w:p>
      <w:r>
        <w:t>90. Consequently, insofar as it reflects the competitive structure of the market for internet access provision, the analysis of the effects of the operation on the retail market for internet access distribution no longer appears relevant.</w:t>
      </w:r>
    </w:p>
    <w:p>
      <w:r>
        <w:t>80 Decision of the Authority No. 19-DCC-199 of October 28, 2019, regarding the review of commitments from decision No. 14-DCC-160 and injunctions from decision No. 17-D-04.</w:t>
      </w:r>
    </w:p>
    <w:p>
      <w:r>
        <w:t>81 Ibid.</w:t>
      </w:r>
    </w:p>
    <w:p>
      <w:r>
        <w:t>82 Ibid.</w:t>
      </w:r>
    </w:p>
    <w:p>
      <w:r>
        <w:t>83 Ibid.</w:t>
      </w:r>
    </w:p>
    <w:p>
      <w:r>
        <w:t>84 Bouygues Telecom distributes its offers in certain Darty and Fnac retail outlets.</w:t>
      </w:r>
    </w:p>
    <w:p>
      <w:r>
        <w:t>85 Altice France distributes its offers in certain large food retailers.</w:t>
      </w:r>
    </w:p>
    <w:p>
      <w:r>
        <w:t>91. The competitive analysis will therefore be conducted solely on the market for internet access provision in which La Poste and the CDC are present.</w:t>
      </w:r>
    </w:p>
    <w:p>
      <w:r>
        <w:t>G. THE HEALTH MARKETS</w:t>
      </w:r>
    </w:p>
    <w:p>
      <w:r>
        <w:t>92. The parties are simultaneously present in the e-health sector (1.), personal services (2.), home service provision (3.), and the offer of diagnostics and hospital care (4.).</w:t>
      </w:r>
    </w:p>
    <w:p>
      <w:r>
        <w:t>1. THE E-HEALTH MARKET</w:t>
      </w:r>
    </w:p>
    <w:p>
      <w:r>
        <w:t>93. The Authority has defined e-health as "the application of information and communication technologies to all activities related to health"86.</w:t>
      </w:r>
    </w:p>
    <w:p>
      <w:r>
        <w:t>94. The national87 and European88 competition authorities have identified a market for health-specific information services within which they distinguished (i) health information systems aimed notably at hospitals and health professionals, (ii) telehealth including the dematerialization of management of reimbursements, prescriptions, and patient records, as well as the development of tools allowing for the online recording of physiological data, and (iii) telemedicine which encompasses all medical procedures performed remotely by professionals.</w:t>
      </w:r>
    </w:p>
    <w:p>
      <w:r>
        <w:t>95. The national89 and European90 authorities consider that these markets are of national scope given the linguistic constraints and the national regulations applicable to the health sector.</w:t>
      </w:r>
    </w:p>
    <w:p>
      <w:r>
        <w:t>96. In this case, the question of the exact delineation of service markets can be left open, insofar as, regardless of the segmentation adopted, the conclusions of the competitive analysis remain unchanged.</w:t>
      </w:r>
    </w:p>
    <w:p>
      <w:r>
        <w:t>2. THE MARKET FOR PERSONAL SERVICES</w:t>
      </w:r>
    </w:p>
    <w:p>
      <w:r>
        <w:t>97. The Authority has defined personal services as "services generally performed at the consumer's home to contribute to well-being in their daily life"91. It has left open the question of a finer segmentation of this market, notably between the provision of services (i) to families, (ii) for daily life, and (iii) for dependent persons92.</w:t>
      </w:r>
    </w:p>
    <w:p>
      <w:r>
        <w:t>98. In any event, the exact definition of the personal services markets can be left open, insofar as the conclusions of the competitive analysis remain unchanged regardless of the segmentation adopted.</w:t>
      </w:r>
    </w:p>
    <w:p>
      <w:r>
        <w:rPr>
          <w:b/>
        </w:rPr>
        <w:t>[Pages 22–24]</w:t>
      </w:r>
    </w:p>
    <w:p>
      <w:r>
        <w:t>99. In this case, the competitive analysis will be conducted at the national level93.</w:t>
      </w:r>
    </w:p>
    <w:p>
      <w:r>
        <w:t>3. THE MARKET FOR HOME HEALTHCARE SERVICES</w:t>
      </w:r>
    </w:p>
    <w:p>
      <w:r>
        <w:t>100. The Authority distinguished home healthcare services from hospital-administered health services94.</w:t>
      </w:r>
    </w:p>
    <w:p>
      <w:r>
        <w:t>101. Within home healthcare services, it considered a segmentation between respiratory health services and non-respiratory health services, insofar as respiratory treatments require the provision of more extensive services, more time spent with the patient, broader medical knowledge than for the provision of non-respiratory services, as well as equipment using different technologies than those used for non-respiratory health services95.</w:t>
      </w:r>
    </w:p>
    <w:p>
      <w:r>
        <w:t>102. Within the provision of home respiratory health services, a sub-segmentation was considered between oxygen therapy services (sub-segmented according to the use of (i) liquid oxygen, (ii) gaseous oxygen, and (iii) oxygen concentrators), and other respiratory health services (treatment of sleep apnea, ventilation, aerosol therapy). Within the provision of home non-respiratory health services, a sub-segmentation between infusion, enteral and parenteral nutrition, and insulin therapy by pump was considered96.</w:t>
      </w:r>
    </w:p>
    <w:p>
      <w:r>
        <w:t>103. In any event, the exact definition of these service markets can be left open as, regardless of the segmentation adopted, the conclusions of the competitive analysis remain unchanged.</w:t>
      </w:r>
    </w:p>
    <w:p>
      <w:r>
        <w:t>4. THE MARKET FOR HOSPITAL DIAGNOSTICS AND CARE SERVICES</w:t>
      </w:r>
    </w:p>
    <w:p>
      <w:r>
        <w:t>104. The Authority identified a market for care and diagnostics services without distinguishing whether the offer comes from public or private establishments97.</w:t>
      </w:r>
    </w:p>
    <w:p>
      <w:r>
        <w:t>105. Furthermore, this market is segmented by type of activity to take into account the high specialization of practitioners and the services of hospital establishments, as well as the necessity for a hospital establishment to obtain specific authorizations from ARS for the exercise of certain medical or surgical specialties98.</w:t>
      </w:r>
    </w:p>
    <w:p>
      <w:r>
        <w:t>106. Decision-making practice has thus considered a segmentation by "specialized activity groups" (hereinafter, "GAS") corresponding to the major disciplines defined by the Public Health Code: medicine, surgery, obstetrics (hereinafter collectively, "MCO"), neonatology, psychiatry, follow-up and rehabilitation care (hereinafter, "SSR"), long-term care, oncology, diagnostic activities, emergencies, and resuscitation99.</w:t>
      </w:r>
    </w:p>
    <w:p>
      <w:r>
        <w:t>107. A sub-segmentation of these markets by "major diagnostic category" (hereinafter, "CMD") has also been considered according to the classification of acts established by the medicalization program of information systems (hereinafter, "PMSI") implemented for activity-based pricing100. This classification consists, according to the Technical Agency for Information on Hospitalization, of grouping MCO activity into 28 "major categories," of which 26 CMD most often correspond to a "functional system."</w:t>
      </w:r>
    </w:p>
    <w:p>
      <w:r>
        <w:t>108. This segmentation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w:t>
      </w:r>
    </w:p>
    <w:p>
      <w:r>
        <w:t>109. The Authority retains a geographical dimension of these markets that is both regional, departmental, and local.</w:t>
      </w:r>
    </w:p>
    <w:p>
      <w:r>
        <w:t>110. In this case, only the CDC is present in these markets for care and diagnostics services. The competitive analysis will focus on the potential vertical effects with the e-health services offered by the La Poste group. In this case, the competitive analysis will be conducted on the overall market for care and diagnostics services at the regional level.</w:t>
      </w:r>
    </w:p>
    <w:p>
      <w:r>
        <w:t>III. Competitive Analysis</w:t>
      </w:r>
    </w:p>
    <w:p>
      <w:r>
        <w:t>A. ANALYSIS OF THE EFFECTS RELATED TO THE TRANSITION FROM JOINT CONTROL EXERCISED BY THE CDC AND THE STATE TO EXCLUSIVE CONTROL BY THE CDC OVER THE LA POSTE GROUP</w:t>
      </w:r>
    </w:p>
    <w:p>
      <w:r>
        <w:t>111. The present operation entails the transition from joint control to exclusive control of the La Poste group by the CDC.</w:t>
      </w:r>
    </w:p>
    <w:p>
      <w:r>
        <w:t>112. The transition from joint control to exclusive control is generally not likely to significantly alter the conditions of competition. Nevertheless, the competitive analysis must be conducted taking into account the position of the parties in the markets, their potential strengthening following the operation, and their incentives to modify their competitive behaviors. In certain cases, which particularly involve parties in a competitive situation prior to the concentration, the transition from joint control to exclusive control has led the Authority to express doubts about potential harm to competition101.</w:t>
      </w:r>
    </w:p>
    <w:p>
      <w:r>
        <w:t>113. The competitive analysis will take into account the risk of a change in the CDC's incentives in the banking sector markets and will consider the developments that have occurred in the relevant markets since decision n° 11-DCC-32 of February 22, 2011, regarding the joint control of the La Poste group by the Caisse des Dépôts et Consignations and the French State.</w:t>
      </w:r>
    </w:p>
    <w:p>
      <w:r>
        <w:t>1. ON THE BANKING MARKETS</w:t>
      </w:r>
    </w:p>
    <w:p>
      <w:r>
        <w:t>114. At the national level, the market shares of the parties in the various banking services markets where activities overlap are presented in the table below.</w:t>
      </w:r>
    </w:p>
    <w:p>
      <w:r>
        <w:t>CDC LBP New entity</w:t>
        <w:br/>
        <w:t>Retail Banking</w:t>
        <w:br/>
        <w:t>Current account [0-5]% [10-20]% [10-20]%</w:t>
        <w:br/>
        <w:t>Bank savings [0-5]% [10-20]% [10-20]%</w:t>
        <w:br/>
        <w:t>Mortgage credit [0-5]% [0-5]% [5-10]%</w:t>
        <w:br/>
        <w:t>Consumer credit [0-5]% [0-5]%</w:t>
        <w:br/>
        <w:t>Including personal credit [0-5]% [0-5]%</w:t>
        <w:br/>
        <w:t>Classic [0-5]% [0-5]%</w:t>
        <w:br/>
        <w:t>Renewable [0-5]% [0-5]%</w:t>
        <w:br/>
        <w:t>Classic personal loans [0-5]% [0-5]%</w:t>
        <w:br/>
        <w:t>Payment card issuance [0-5]% [10-20]% [10-20]%</w:t>
        <w:br/>
        <w:t>Commercial Banking</w:t>
        <w:br/>
        <w:t>Current account [0-5]% [0-5]% [0-5]%</w:t>
        <w:br/>
        <w:t>Corporate savings [0-5]% [0-5]% [0-5]%</w:t>
        <w:br/>
        <w:t>Investment loans [0-5]% [0-5]% [0-5]%</w:t>
        <w:br/>
        <w:t>Short-term financing [0-5]% [0-5]% [5-10]%</w:t>
        <w:br/>
        <w:t>Mortgage credit to professionals [0-5]% [0-5]% [0-5]%</w:t>
        <w:br/>
        <w:t>Leasing [0-5]% [0-5]% [0-5]%</w:t>
        <w:br/>
        <w:t>Real estate leasing [0-5]% [0-5]% [5-10]%</w:t>
        <w:br/>
        <w:t>Equipment leasing [0-5]% [0-5]% [0-5]%</w:t>
        <w:br/>
        <w:t>Payment cards [0-5]% [0-5]% [0-5]%</w:t>
        <w:br/>
        <w:t>International payments [0-5]% [0-5]% [0-5]%</w:t>
        <w:br/>
        <w:t>Remote local payments [0-5]% [5-10]% [5-10]%</w:t>
        <w:br/>
        <w:t>Issued transfers [0-5]% [5-10]% [10-20]%</w:t>
        <w:br/>
        <w:t>Issued direct debits [0-5]% [5-10]% [5-10]%</w:t>
      </w:r>
    </w:p>
    <w:p>
      <w:r>
        <w:t>115. In the retail banking and commercial banking markets, the cumulative market shares of the parties remain below 20%, regardless of the segment concerned. Furthermore, the addition of the parties' market shares related to the operation is limited as it is below two points for all segments except for the market for remote local payments and issued transfers, where the addition of the parties' market shares is respectively [0-5] and [0-5] points.</w:t>
      </w:r>
    </w:p>
    <w:p>
      <w:r>
        <w:t>116. Moreover, in these markets, the parties will continue to face competition from other French banking groups: Société Générale, Crédit Agricole, Crédit Mutuel-CIC, BNP-Paribas, and BPCE across all these segments, as well as, for certain markets, from online banking service companies such as Orange Bank, Nickel, Revolut, or N°26. Additionally, respondents to the market test conducted during the investigation believe that the operation is not likely to raise a competition issue.</w:t>
      </w:r>
    </w:p>
    <w:p>
      <w:r>
        <w:t>117. Regarding the credit activity for local authorities carried out by SFIL, a subsidiary of the CDC, the notifying party argues that this activity does not constitute an economic activity conducted in a market.</w:t>
      </w:r>
    </w:p>
    <w:p>
      <w:r>
        <w:t>118. It should be noted that SFIL's activity is strictly regulated by the State aid decision of the Commission regarding Dexia102. This decision follows the failure of the...</w:t>
      </w:r>
    </w:p>
    <w:p>
      <w:r>
        <w:t>102 Decisions of the Commission of December 28, 2012, concerning State aid SA.33760 (2012/N-2, 2011/C, 2011/N); SA.33763 (2012/N-2, 2011/C, 2011/N); SA.33764 (2012 N-2, 2011/C, 2011/N); SA.30521 (MC 2/2010); SA.26653 (C9/2009); SA.34925 (2012 N-2, 2012/C, 2012/N); SA. 34927 (2012 N-2, 2012/C, 2012/N); SA. 34928 (2012 N-2, 2012/C, 2012/N) executed by the Kingdom of Belgium, the French Republic, and the Grand Duchy of Luxembourg in favor of Dexia, DBB/Belfius, and DMA.</w:t>
      </w:r>
    </w:p>
    <w:p>
      <w:r>
        <w:rPr>
          <w:b/>
        </w:rPr>
        <w:t>[Pages 25–27]</w:t>
      </w:r>
    </w:p>
    <w:p>
      <w:r>
        <w:t>bank Dexia, as noted by the Commission in 2014. The Commission thus authorized SFIL, a new institution, through its subsidiary CAFFIL*, to engage in local authority lending activities for fifteen years. The loans granted are marketed by LBP under the conditions set by the aid grant decision, namely "under market conditions that are not more attractive than those offered by other commercial banks"103. These loans are also refinanced by CAFFIL*. This refinancing concerns almost all loans granted by LBP to local authorities. The cost of refinancing is regulated by the aid grant decision. Due to the receivables assignment agreement binding LBP and SFIL and in accordance with the provisions of the aid grant decision which prohibits SFIL from contracting with banks other than LBP for other services, LBP is the sole contractor of SFIL prior to the operation.</w:t>
      </w:r>
    </w:p>
    <w:p>
      <w:r>
        <w:t>119. Therefore, without the need to rule on whether the activity carried out by SFIL is market-based or not, given the assignment agreement, applicable until 2024, and the Commission's aid grant decision, the operation has no effect on the structure of the local authority financing market.</w:t>
      </w:r>
    </w:p>
    <w:p>
      <w:r>
        <w:t>120. Consequently, the operation is not likely to harm competition in the banking markets through horizontal effects.</w:t>
      </w:r>
    </w:p>
    <w:p>
      <w:r>
        <w:t>2. ON OTHER MARKETS AFFECTED BY THE OPERATION</w:t>
      </w:r>
    </w:p>
    <w:p>
      <w:r>
        <w:t>121. In the real estate sector, the CDC and La Poste are simultaneously present in the real estate development market, real estate consulting, and multi-technical management and maintenance. Furthermore, La Poste is present in the market for asset management for third parties and in rental intermediation, while the CDC is active in the engineering and technical studies market. The markets for real estate consulting, asset management for third parties, rental intermediation, and multi-technical management and maintenance have a conglomerate link with the real estate development market.</w:t>
      </w:r>
    </w:p>
    <w:p>
      <w:r>
        <w:t>122. In the markets for document and data processing for third parties, the CDC and La Poste are simultaneously present in the market for incoming document and data processing.</w:t>
      </w:r>
    </w:p>
    <w:p>
      <w:r>
        <w:t>123. In the fixed telecommunications markets excluding mobile telephony, the activities of the parties overlap in the market for high-speed and very high-speed Internet access provision.</w:t>
      </w:r>
    </w:p>
    <w:p>
      <w:r>
        <w:t>124. Across all these markets, the market share of the new entity will be below 25% regardless of the market and the segmentation adopted.</w:t>
      </w:r>
    </w:p>
    <w:p>
      <w:r>
        <w:t>125. Moreover, in the health sector, the CDC is present in the market for the provision of diagnostics and hospital care, while La Poste is active in the e-health and personal services market, which have vertical links with the provision of diagnostics and hospital care.</w:t>
      </w:r>
    </w:p>
    <w:p>
      <w:r>
        <w:t>126. In these markets, the market share of the new entity will be below 30%, regardless of the market and the segmentation adopted.</w:t>
      </w:r>
    </w:p>
    <w:p>
      <w:r>
        <w:t>127. Therefore, the operation is not likely to harm competition in all these markets through horizontal, vertical, or conglomerate effects.</w:t>
      </w:r>
    </w:p>
    <w:p>
      <w:r>
        <w:t>103 Ibid.</w:t>
        <w:br/>
        <w:t>* Correction of material error.</w:t>
      </w:r>
    </w:p>
    <w:p>
      <w:r>
        <w:t>B. ANALYSIS OF THE EFFECTS RELATED TO THE ACQUISITION OF CNP ASSURANCES BY THE CDC/LBP</w:t>
      </w:r>
    </w:p>
    <w:p>
      <w:r>
        <w:t>128. CNP Assurances is present in the insurance sector (1), in the market for asset management for its own account, and in the personal services market, in which the CDC and the La Poste group are also present (2). Finally, given the wide variety of sectors affected by the operation, it is necessary to examine the conglomerate effects (3).</w:t>
      </w:r>
    </w:p>
    <w:p>
      <w:r>
        <w:t>1. ON THE INSURANCE MARKETS</w:t>
      </w:r>
    </w:p>
    <w:p>
      <w:r>
        <w:t>129. The market shares of the parties in the insurance markets are presented in the table below.</w:t>
      </w:r>
    </w:p>
    <w:p>
      <w:r>
        <w:t>| CDC | CNP | LBP | Cumulative |</w:t>
        <w:br/>
        <w:t>| --- | --- | --- | --- |</w:t>
        <w:br/>
        <w:t>| Reinsurance Markets |</w:t>
        <w:br/>
        <w:t>| Personal Reinsurance | [0-5]% | [0-5]% | [0-5]% |</w:t>
        <w:br/>
        <w:t>| Supplementary Health Reinsurance | [0-5]% | [0-5]% | [0-10]% |</w:t>
        <w:br/>
        <w:t>| Provident Reinsurance | [0-5]% | [0-5]% | [0-10]% |</w:t>
        <w:br/>
        <w:t>| Borrower Reinsurance | [0-5]% | [0-5]% | [0-10]% |</w:t>
        <w:br/>
        <w:t>| Upstream Insurance Production Market |</w:t>
        <w:br/>
        <w:t>| Personal Insurance Production Market |</w:t>
        <w:br/>
        <w:t>| Supplementary Health Insurance | [0-5]% | [0-5]% | [0-5]% |</w:t>
        <w:br/>
        <w:t>| Individual | [0-5]% | [0-5]% | [0-5]% |</w:t>
        <w:br/>
        <w:t>| Collective | [0-5]% | [0-5]% | [0-5]% |</w:t>
        <w:br/>
        <w:t>| Provident | [0-5]% | [0-5]% | [5-10]% |</w:t>
        <w:br/>
        <w:t>| Individual | [0-5]% | [0-5]% | [0-5]% |</w:t>
        <w:br/>
        <w:t>| Collective | [5-10]% | [5-10]% | |</w:t>
        <w:br/>
        <w:t>| Dependency | [5-10]% | [5-10]% | [10-20]% |</w:t>
        <w:br/>
        <w:t>| Individual | [5-10]% | [5-10]% | [10-20]% |</w:t>
        <w:br/>
        <w:t>| Collective | [10-20]% | [10-20]% | |</w:t>
        <w:br/>
        <w:t>| Death Insurance | [0-5]% | [0-5]% | [5-10]% |</w:t>
        <w:br/>
        <w:t>| Individual | [0-5]% | [0-5]% | [0-5]% |</w:t>
        <w:br/>
        <w:t>| Collective | [5-10]% | [5-10]% | |</w:t>
        <w:br/>
        <w:t>| Funeral Insurance | [0-5]% | [0-5]% | [5-10]% |</w:t>
        <w:br/>
        <w:t>| Savings and Life Insurance | [10-20]% | [10-20]% | |</w:t>
        <w:br/>
        <w:t>| Individual | [10-20]% | [10-20]% | |</w:t>
        <w:br/>
        <w:t>| Collective | [10-20]% | [10-20]% | |</w:t>
        <w:br/>
        <w:t>| Supplementary Retirement | [5-10]% | [5-10]% | |</w:t>
        <w:br/>
        <w:t>| Individual | [5-10]% | [5-10]% | |</w:t>
        <w:br/>
        <w:t>| Collective | [5-10]% | [5-10]% | |</w:t>
        <w:br/>
        <w:t>| Borrower Insurance | [20-30]% | [0-5]% | [20-30]% |</w:t>
        <w:br/>
        <w:t>| Individual | [10-20]% | [10-20]% | |</w:t>
        <w:br/>
        <w:t>| Collective | [20-30]% | [0-5]% | [30-40]% |</w:t>
        <w:br/>
        <w:t>| Market for Property Insurance Production for Individuals |</w:t>
        <w:br/>
        <w:t>| Life Accident Guarantees | [0-5]% | [0-5]% | [0-5]% |</w:t>
        <w:br/>
        <w:t>| Payment Means | [0-5]% | [0-10]% | [0-15]% |</w:t>
        <w:br/>
        <w:t>| Multi-risk Home Insurance | [0-5]% | [0-5]% | |</w:t>
        <w:br/>
        <w:t>| Automobile | [0-5]% | [0-5]% | |</w:t>
        <w:br/>
        <w:t>| Civil Liability | [0-5]% | [0-5]% | |</w:t>
        <w:br/>
        <w:t>| Unpaid Rent Guarantees | [0-5]% | [0-5]% | |</w:t>
        <w:br/>
        <w:t>| Legal Protection | [0-5]% | [0-5]% | |</w:t>
        <w:br/>
        <w:t>| Warranty Extension | [0-10]% | [0-10]% | |</w:t>
        <w:br/>
        <w:t>| Market for Distinct and Accessory Guarantees |</w:t>
        <w:br/>
        <w:t>| Employee Savings Record Keeping | [5-10]% | [0-5]% | [5-10]% |</w:t>
        <w:br/>
        <w:t>| Asset Management | [0-5]% | [0-5]% | [0-5]% |</w:t>
        <w:br/>
        <w:t>| Assistance | [0-5]% | [0-5]% | [0-5]% |</w:t>
        <w:br/>
        <w:t>| Medical | [0-5]% | [0-5]% | |</w:t>
        <w:br/>
        <w:t>| Domestic | [5-10]% | [5-10]% | |</w:t>
        <w:br/>
        <w:t>| Housing | [0-5]% | [0-5]% | [0-5]% |</w:t>
        <w:br/>
        <w:t>| Technical | [0-5]% | [0-5]% | [0-5]% |</w:t>
        <w:br/>
        <w:t>| Personal Services | [0-5]% | [0-5]% | [0-5]% |</w:t>
        <w:br/>
        <w:t>| Dependent Persons | [0-5]% | [0-5]% | [0-5]% |</w:t>
        <w:br/>
        <w:t>| Family | [0-5]% | [0-5]% | |</w:t>
        <w:br/>
        <w:t>| Daily Life | [0-5]% | [0-5]% | |</w:t>
        <w:br/>
        <w:t>| Acquisition Guarantee | [0-5]% | [0-5]% | |</w:t>
        <w:br/>
        <w:t>| Downstream Insurance Distribution Market |</w:t>
        <w:br/>
        <w:t>| Overall Market | [0-5]% | [0-5]% | [5-10]% | [5-10]% |</w:t>
        <w:br/>
        <w:t>| Insurance Brokerage Market | [0-5]% | [0-5]% | |</w:t>
      </w:r>
    </w:p>
    <w:p>
      <w:r>
        <w:t>a) Horizontal Effects</w:t>
      </w:r>
    </w:p>
    <w:p>
      <w:r>
        <w:t>130. In the insurance markets, regardless of the segmentation adopted, the cumulative market shares of the parties are below 20% except in the segments of borrower insurance production where the cumulative market share is [20-30]% and in collective borrower insurance where it reaches [30-40]%. However, in these segments, the addition of the market shares of the parties related to the operation is less than one point. Furthermore, no operator surveyed in the context of the market test expressed concerns to the Authority regarding this operation.</w:t>
      </w:r>
    </w:p>
    <w:p>
      <w:r>
        <w:t>131. Consequently, particularly considering point 398 of the aforementioned guidelines of the Authority, the operation is not likely to produce horizontal effects in these markets.</w:t>
      </w:r>
    </w:p>
    <w:p>
      <w:r>
        <w:t>b) Vertical Effects</w:t>
      </w:r>
    </w:p>
    <w:p>
      <w:r>
        <w:t>132. In this case, CNP Assurances is present in the upstream market for personal and property insurance production, while LBP is present in this upstream market and in the market for insurance distribution for third parties. Furthermore, the CDC is active in the market for the distribution of insurance products.</w:t>
      </w:r>
    </w:p>
    <w:p>
      <w:r>
        <w:t>133. A vertical concentration can restrict competition by making access to the markets where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134. First, regarding the risk of harming competition related to the vertical integration between LBP's insurance production activities and CNP Assurances' and the CDC's insurance distribution activities, this risk can be dismissed given the marginal presence of the parties in the market for insurance distribution for third parties. Indeed, CNP Assurances and the CDC each represent less than [0-5]% of market shares. Moreover, in the market restricted to brokers, where only the CDC is present, its market share is also marginal ([0-5]%). Furthermore, LBP's market shares in the insurance production markets are well below 30%, regardless of the segment retained.</w:t>
      </w:r>
    </w:p>
    <w:p>
      <w:r>
        <w:t>135. Secondly, regarding the risk of harming competition related to the vertical integration of insurance production activities by CNP Assurances and distribution activities by LBP, this risk can also be dismissed. Indeed, it should be noted that LBP holds a weak position in the market for the distribution of insurance products,</w:t>
      </w:r>
    </w:p>
    <w:p>
      <w:r>
        <w:rPr>
          <w:b/>
        </w:rPr>
        <w:t>[Pages 28–30]</w:t>
      </w:r>
    </w:p>
    <w:p>
      <w:r>
        <w:t>since its market share is estimated at [5-10]%. Furthermore, CNP Assurances' positions in the insurance production market are below 30%, except for the collective borrower insurance market where its market share is [30-40]%, which is a position close to the presumption threshold of absence of competition issues, defined in point 384 of the aforementioned guidelines. Moreover, alternative operators to LBP, such as BPCE, Crédit Agricole, or Banque Française Mutualiste, are present in the market. Finally, it appears from the reference document of CNP Assurances for the year 2018 that, prior to the operation, the insurance products produced by CNP Assurances in this market represented the entirety of the products distributed by LBP. Therefore, the operation does not alter the competitive structure of the market and is thus not likely to harm competition through vertical effects.</w:t>
      </w:r>
    </w:p>
    <w:p>
      <w:r>
        <w:t>2. ON OTHER MARKETS</w:t>
      </w:r>
    </w:p>
    <w:p>
      <w:r>
        <w:t>136. The activities of the parties overlap in the asset management markets for their own account and personal services.</w:t>
      </w:r>
    </w:p>
    <w:p>
      <w:r>
        <w:t>137. In the health sector, the parties are simultaneously present in the market for home health service provision.</w:t>
      </w:r>
    </w:p>
    <w:p>
      <w:r>
        <w:t>138. In the markets related to the real estate sector, the parties are simultaneously present in the market for asset management for their own account.</w:t>
      </w:r>
    </w:p>
    <w:p>
      <w:r>
        <w:t>139. Across all these markets, following the operation, the market share of the new entity will be below 25%, regardless of the market and the segmentation adopted.</w:t>
      </w:r>
    </w:p>
    <w:p>
      <w:r>
        <w:t>140. Consequently, the operation is not likely to harm competition through vertical effects across all these markets.</w:t>
      </w:r>
    </w:p>
    <w:p>
      <w:r>
        <w:t>3. ANALYSIS OF CONGLOMERATE EFFECTS</w:t>
      </w:r>
    </w:p>
    <w:p>
      <w:r>
        <w:t>141. A concentration is likely to have conglomerate effects when the new entity extends or strengthens its presence in several markets whose connection may allow it to exploit a leverage effect. The company thus increases the sales of a product in one market by leveraging its strong position in the market of another product to which the first product is linked or bundled.</w:t>
      </w:r>
    </w:p>
    <w:p>
      <w:r>
        <w:t>a) Analysis of conglomerate effects on the markets of mortgage credit, real estate promotion, real estate services, and insurance</w:t>
      </w:r>
    </w:p>
    <w:p>
      <w:r>
        <w:t>142. LBP is active in the mortgage credit market for individuals and businesses. The CDC and La Poste are active in the real estate promotion markets. Finally, the parties are active in the real estate services and insurance markets. Such a situation may raise concerns that tied sales, combining several services, could have exclusionary effects on competitors who are not present in all the relevant markets.</w:t>
      </w:r>
    </w:p>
    <w:p>
      <w:r>
        <w:t>143. Nevertheless, such effects, to be significant, must rely on a strong market power in one or more of the relevant markets. However, as previously indicated, the operation does not result in the new entity acquiring a strong position in any of the markets concerned by this operation. In particular, the new entity will have a market share of less than 20% in the residential real estate promotion market, less than 10% in the mortgage credit market, and [30-40]% in the borrower insurance market, a market in which it will continue to face competition from significant players.</w:t>
      </w:r>
    </w:p>
    <w:p>
      <w:r>
        <w:t>144. Consequently, the operation is not likely to harm competition through conglomerate effects in the real estate and insurance markets.</w:t>
      </w:r>
    </w:p>
    <w:p>
      <w:r>
        <w:t>b) Analysis of conglomerate effects on the banking and insurance markets</w:t>
      </w:r>
    </w:p>
    <w:p>
      <w:r>
        <w:t>145. The operation aims, in particular, to create a new bancassurance operator in the French market based on both the range of insurance contracts offered by CNP Assurances and the distribution network of banking products of LBP.</w:t>
      </w:r>
    </w:p>
    <w:p>
      <w:r>
        <w:t>146. In the same way as for vertical effects, competition authorities generally dismiss conglomerate effects when the market share of the company resulting from the operation in the relevant markets does not exceed 30%.</w:t>
      </w:r>
    </w:p>
    <w:p>
      <w:r>
        <w:t>147. In this case, the market share of CNP Assurances in the insurance production markets is below 30%, except for collective borrower insurance where its market share is [30-40]%.</w:t>
      </w:r>
    </w:p>
    <w:p>
      <w:r>
        <w:t>148. First of all, it should be noted that the market share of CNP Assurances in the collective borrower insurance market is only slightly above the 30% threshold.</w:t>
      </w:r>
    </w:p>
    <w:p>
      <w:r>
        <w:t>149. Furthermore, LBP has been distributing CNP Assurances' borrower insurance products for several years.</w:t>
      </w:r>
    </w:p>
    <w:p>
      <w:r>
        <w:t>150. In addition, the legislative framework does not allow for strengthening coupling strategies in these markets. Indeed, the so-called "MURCEF" law prohibits bancassurers from conditioning the granting of their credits on the subscription of the insurance they offer. Moreover, the consumer also has the option to terminate their insurance contract on each anniversary date without having to pay a penalty.</w:t>
      </w:r>
    </w:p>
    <w:p>
      <w:r>
        <w:t>151. Finally, the new entity will remain subject to competition from several groups also active in the retail banking and the production and distribution of insurance products markets, including operators who are present in both the mortgage credit and borrower insurance production markets such as Crédit Agricole, Crédit Mutuel, BNP-Paribas, and BPCE.</w:t>
      </w:r>
    </w:p>
    <w:p>
      <w:r>
        <w:t>152. This analysis is not undermined by the fact that locally, the market shares of LBP may exceed 30%. Indeed, these market shares are the result of the territorial network mission of the La Poste group and not of a strategy for developing local agencies. In this regard, it should be noted that LBP's pricing policy is defined at the national level and that the price of the contracts offered is identical across the entire territory, regardless of the geographical area considered.</w:t>
      </w:r>
    </w:p>
    <w:p>
      <w:r>
        <w:t>153. Consequently, the operation is not likely to harm competition through conglomerate effects.</w:t>
      </w:r>
    </w:p>
    <w:p>
      <w:r>
        <w:t>DECIDES</w:t>
      </w:r>
    </w:p>
    <w:p>
      <w:r>
        <w:t>Sole Article: The operation notified under number 19-158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