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21-DCC-30 of February 22, 2021  </w:t>
        <w:br/>
        <w:t xml:space="preserve">regarding the exclusive control acquisition of the La Centrale group by  </w:t>
        <w:br/>
        <w:t xml:space="preserve">PVIII Lux Holding company  </w:t>
        <w:br/>
        <w:t xml:space="preserve">The Competition Authority,  </w:t>
        <w:br/>
        <w:t xml:space="preserve">Having regard to the complete notification file sent to the mergers department on February 5, 2021,  </w:t>
        <w:br/>
        <w:t xml:space="preserve">concerning the exclusive control acquisition of the La Centrale group by PVIII Lux Holding company,  </w:t>
        <w:br/>
        <w:t xml:space="preserve">formalized by a purchase promise dated December 15,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investment fund PVIII  </w:t>
        <w:br/>
        <w:t xml:space="preserve">Lux Holding of the La Centrale group, active in the sectors of editorial website operation  </w:t>
        <w:br/>
        <w:t xml:space="preserve">and classified ads in the automotive sector. It constitutes a concentration operation within the meaning of  </w:t>
        <w:br/>
        <w:t xml:space="preserve">Article L. 430-1 of the Commercial Code. Given the revenues generated by the companies concerned,  </w:t>
        <w:br/>
        <w:t xml:space="preserve">the operation does not fall under the jurisdiction of the European Union. On the other hand, the control thresholds  </w:t>
        <w:br/>
        <w:t xml:space="preserve">mentioned in point I of Article L. 430-2 of the Commercial Code are exceeded. This operation is therefore subject to  </w:t>
        <w:br/>
        <w:t xml:space="preserve">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20-270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