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https://www.autoritedelaconcurrence.fr/fr/decision-de-controle-des-concentrations/relative-la-prise-de-controle-exclusif-du-groupe-labexa-par</w:t>
      </w:r>
    </w:p>
    <w:p>
      <w:r>
        <w:t>Pages translated : 15</w:t>
      </w:r>
    </w:p>
    <w:p/>
    <w:p>
      <w:r>
        <w:rPr>
          <w:b/>
        </w:rPr>
        <w:t>[Pages 1–3]</w:t>
      </w:r>
    </w:p>
    <w:p>
      <w:r>
        <w:t xml:space="preserve">FRENCH REPUBLIC  </w:t>
        <w:br/>
        <w:t xml:space="preserve">Decision No. 21-DCC-261 of December 23, 2021  </w:t>
        <w:br/>
        <w:t>relating to the exclusive control of the Labexa Group by the Cerba Group</w:t>
      </w:r>
    </w:p>
    <w:p>
      <w:r>
        <w:t xml:space="preserve">The Competition Authority,  </w:t>
        <w:br/>
        <w:t xml:space="preserve">Having regard to the notification file submitted in full to the merger service on November 22, 2021, relating to the exclusive control of the Labexa Group by the Cerba Group, formalized by a share acquisition agreement dated November 19, 2021;  </w:t>
        <w:br/>
        <w:t xml:space="preserve">Having regard to Book IV of the Commercial Code relating to price freedom and competition, and in particular its Articles L. 430-1 to L. 430-7;  </w:t>
        <w:br/>
        <w:t xml:space="preserve">Having regard to the commitments submitted on December 15, 2021, by the notifying party;  </w:t>
        <w:br/>
        <w:t xml:space="preserve">Having regard to the additional elements provided by the notifying party during the investigation;  </w:t>
        <w:br/>
        <w:t xml:space="preserve">Having regard to the other documents in the file;  </w:t>
        <w:br/>
        <w:t>Adopts the following decision:</w:t>
      </w:r>
    </w:p>
    <w:p>
      <w:r>
        <w:t xml:space="preserve">Summary1  </w:t>
        <w:br/>
        <w:t xml:space="preserve">By means of the decision below, the Authority examined the exclusive control of the Labexa Group by the Cerba Group.  </w:t>
        <w:br/>
        <w:t xml:space="preserve">The parties are simultaneously active in the markets for the supply of biology equipment, reagents, and consumables, and in the market for "routine" medical biology examinations.  </w:t>
        <w:br/>
        <w:t xml:space="preserve">While the operation does not raise competition concerns in the upstream supply markets from suppliers, the Authority considered, on the other hand, that there are serious risks of harm to competition in the market for "routine" medical biology examinations at the level of the Hautes-Pyrénées department.  </w:t>
        <w:br/>
        <w:t xml:space="preserve">Within this department, the strengthening of the new entity's position in the considered market is not compensated by a credible and sufficient alternative offer from competing operators. In this department, the operation is therefore likely to harm competition.  </w:t>
        <w:br/>
        <w:t xml:space="preserve">To address this competition concern, the Cerba Group committed to divest the only medical analysis site of the Labexa Group in said department, which eliminates any overlap of activity between the parties.  </w:t>
        <w:br/>
        <w:t xml:space="preserve">Given the commitments made by the Cerba Group, the Authority authorized the present operation following a phase 1 review.  </w:t>
        <w:br/>
        <w:t>1 This summary is strictly informative. Only the reasons for the decision numbered below are authoritative.</w:t>
      </w:r>
    </w:p>
    <w:p>
      <w:r>
        <w:t xml:space="preserve">DECISION NO. 21-DCC-261 OF DECEMBER 23, 2021 RELATING TO THE EXCLUSIVE CONTROL OF THE LABEXA GROUP BY THE CERBA GROUP .......................................................... 1  </w:t>
        <w:br/>
        <w:t xml:space="preserve">I. THE COMPANIES CONCERNED AND THE OPERATION ........................................................... 4  </w:t>
        <w:br/>
        <w:t xml:space="preserve">II. DELINEATION OF RELEVANT MARKETS ...................................................................... 4  </w:t>
        <w:br/>
        <w:t xml:space="preserve">A. The markets for the supply of biology equipment, reagents, and consumables ................................................................................................................................... 5  </w:t>
        <w:br/>
        <w:t xml:space="preserve">1. Product markets .............................................................................................. 5  </w:t>
        <w:br/>
        <w:t xml:space="preserve">2. Geographic markets........................................................................................ 5  </w:t>
        <w:br/>
        <w:t xml:space="preserve">B. The markets for the provision of medical biology examinations ................................ 6  </w:t>
        <w:br/>
        <w:t xml:space="preserve">1. Service markets ............................................................................................. 6  </w:t>
        <w:br/>
        <w:t xml:space="preserve">2. Geographic markets........................................................................................ 8  </w:t>
        <w:br/>
        <w:t xml:space="preserve">III. COMPETITIVE ANALYSIS ....................................................................................... 8  </w:t>
        <w:br/>
        <w:t xml:space="preserve">A. Analysis of horizontal effects .................................................................................... 8  </w:t>
        <w:br/>
        <w:t xml:space="preserve">1. The markets for the supply of biology equipment, reagents, and consumables ............................................................................................................................... 8  </w:t>
        <w:br/>
        <w:t xml:space="preserve">2. The markets for the provision of medical biology examinations .................................. 9  </w:t>
        <w:br/>
        <w:t xml:space="preserve">a) In the overall market for the provision of medical biology examinations ................ 9  </w:t>
        <w:br/>
        <w:t xml:space="preserve">b) In the market for routine medical biology examinations ......................................... 9  </w:t>
        <w:br/>
        <w:t xml:space="preserve">B. Analysis of vertical effects ....................................................................................... 12  </w:t>
        <w:br/>
        <w:t xml:space="preserve">IV. COMMITMENTS ...................................................................................................... 12  </w:t>
        <w:br/>
        <w:t xml:space="preserve">A. Proposed commitments ......................................................................................... 12  </w:t>
        <w:br/>
        <w:t xml:space="preserve">B. Assessment of the proposed commitments ............................................................... 13  </w:t>
        <w:br/>
        <w:t xml:space="preserve">1. On the principles guiding the assessment of proposed commitments ...................... 13  </w:t>
        <w:br/>
        <w:t>2. On the appropriateness of the proposed commitments ............................................. 14</w:t>
      </w:r>
    </w:p>
    <w:p>
      <w:r>
        <w:rPr>
          <w:b/>
        </w:rPr>
        <w:t>[Pages 4–6]</w:t>
      </w:r>
    </w:p>
    <w:p>
      <w:r>
        <w:t>I. THE COMPANIES CONCERNED AND THE OPERATION</w:t>
      </w:r>
    </w:p>
    <w:p>
      <w:r>
        <w:t>1. The Cerba group (hereinafter "Cerba"), exclusively controlled by the investment fund EQT, is primarily active in the medical biology sector and operates a network of 495 laboratories in France. It is also present internationally.</w:t>
      </w:r>
    </w:p>
    <w:p>
      <w:r>
        <w:t>2. The Labexa group (hereinafter "Labexa") is active in the medical biology sector through 94 laboratories mainly located in the South-West region of France.</w:t>
      </w:r>
    </w:p>
    <w:p>
      <w:r>
        <w:t>3. The operation, formalized by a share acquisition contract dated November 19, 2021, consists of the acquisition by Cerba SELAFA, a subsidiary of the Cerba group, of 99.7% of the share capital and voting rights of Labexa, the remainder being held by biologists practicing in this company, which will give Cerba control over the target.</w:t>
      </w:r>
    </w:p>
    <w:p>
      <w:r>
        <w:t>4. As it results in the exclusive control of the Labexa group by the Cerba group, the notified operation constitutes a concentration within the meaning of Article L. 430-1 of the Commercial Code.</w:t>
      </w:r>
    </w:p>
    <w:p>
      <w:r>
        <w:t>5. The companies concerned together achieve a total worldwide turnover of more than 150 million euros (EQT: [≥ 150 million] euros for the fiscal year ending December 31, 2021; Labexa: [≤ 150 million] euros for the fiscal year ending December 31, 2020). Each of these companies generates a turnover in France exceeding 50 million euros (EQT: [≥ 50 million] euros for the fiscal year ending December 31, 2020; Labexa: [≥ 50 million] euros for the fiscal year ending December 31, 2020). Given these turnover figures, the operation does not have a European dimension. However, the control thresholds mentioned in I of Article L. 430-2 of the Commercial Code are exceeded. The present operation is therefore subject to the provisions of Articles L. 430-3 and following of the Commercial Code, relating to economic concentration.</w:t>
      </w:r>
    </w:p>
    <w:p>
      <w:r>
        <w:t>II. DELINEATION OF RELEVANT MARKETS</w:t>
      </w:r>
    </w:p>
    <w:p>
      <w:r>
        <w:t>6. The parties are simultaneously active, as buyers, in the market for the supply of biology equipment, reagents, and consumables (A).</w:t>
      </w:r>
    </w:p>
    <w:p>
      <w:r>
        <w:t>7. The parties are also simultaneously active in the medical biology sector. Indeed, the Cerba and Labexa groups both own medical analysis laboratories whose activity consists of providing medical biology examinations (B).</w:t>
      </w:r>
    </w:p>
    <w:p>
      <w:r>
        <w:t>A. MARKETS FOR THE SUPPLY OF BIOLOGY EQUIPMENT, REAGENTS, AND CONSUMABLES</w:t>
      </w:r>
    </w:p>
    <w:p>
      <w:r>
        <w:t>1. PRODUCT MARKETS</w:t>
      </w:r>
    </w:p>
    <w:p>
      <w:r>
        <w:t>8. The decisional practice has considered segmenting the market for the supply of biology equipment, reagents, and consumables into nearly as many sectors of activity as there are products or consumables concerned by the analyses (culture media and serums, products for gene activation, magnetic beads, etc.). The European Commission has thus adopted the classification of in vitro diagnostic products used by the European Diagnostic Manufacturers Association ("EDMA"), which classifies reagents and consumables into six main categories ("first level"): clinical chemistry, immunochemistry, hematology/histology, microbiology, infectious immunology, and genetic testing, and then into additional subcategories within each of them. The Competition Authority has also considered a specific market for products related to coronavirus diseases (covid-19).</w:t>
      </w:r>
    </w:p>
    <w:p>
      <w:r>
        <w:t>9. In any case, the question of the exact definition of the markets for the supply of biology equipment, reagents, and consumables can be left open insofar as, regardless of the delimitation retained, the conclusions of the competitive analysis remain unchanged.</w:t>
      </w:r>
    </w:p>
    <w:p>
      <w:r>
        <w:t>10. In this case, the parties simultaneously purchase equipment, reagents, and consumables belonging to the following five categories: clinical chemistry, immunochemistry, hematology and histology, infectious immunology, and covid-19.</w:t>
      </w:r>
    </w:p>
    <w:p>
      <w:r>
        <w:t>2. GEOGRAPHIC MARKETS</w:t>
      </w:r>
    </w:p>
    <w:p>
      <w:r>
        <w:t>11. The decisional practice considers that the markets for the supply of biology equipment, reagents, and consumables may have a European or even global dimension. While leaving the question open, the Authority has also examined, in previous operations, the effects on the network of suppliers and wholesalers at the national level only.</w:t>
      </w:r>
    </w:p>
    <w:p>
      <w:r>
        <w:t>12. In any case, the question of the exact delimitation of these markets can be left open insofar as, regardless of the delimitation retained, the conclusions of the competitive analysis remain unchanged.</w:t>
      </w:r>
    </w:p>
    <w:p>
      <w:r>
        <w:t>13. In this case, the analysis will be conducted solely at the national level, the most conservative level.</w:t>
      </w:r>
    </w:p>
    <w:p>
      <w:r>
        <w:t>B. MARKETS FOR MEDICAL BIOLOGY EXAMINATION SERVICES</w:t>
      </w:r>
    </w:p>
    <w:p>
      <w:r>
        <w:t>1. SERVICE MARKETS</w:t>
      </w:r>
    </w:p>
    <w:p>
      <w:r>
        <w:t>14. In accordance with Article L. 6211-1 of the Public Health Code (hereinafter "PHC"), a medical biology examination is "a medical act that contributes to prevention, screening, diagnosis, or the assessment of the risk of occurrence of pathological states, to decision-making and therapeutic management, to the determination or monitoring of the physiological or pathophysiological state of the human being [...]".</w:t>
      </w:r>
    </w:p>
    <w:p>
      <w:r>
        <w:t>15. Medical biology examinations consist of three phases: a pre-analytical phase, which notably includes the collection of a biological sample and its transport to the place where it is analyzed, an analytical phase, and a post-analytical phase of interpretation and communication of the result to the prescriber. They are performed by a medical biologist or, for certain phases, under their responsibility, within a medical biology laboratory (hereinafter "MBL"), such as those owned by the parties.</w:t>
      </w:r>
    </w:p>
    <w:p>
      <w:r>
        <w:t>16. Public health considerations inspire the provisions that govern the activity of MBLs. A laboratory may thus be established, within the framework set by Article L. 6212-1 of the Public Health Code, on one or more sites. Samples may thus be collected at one site and transferred to another site of the same MBL, equipped with a technical platform, where the analytical phase is performed. Each site of an MBL must have at least one biologist capable of meeting the needs of the site, pursuant to Article L. 6222-6 of the Public Health Code. The activity of MBLs can only be subcontracted to a limited extent. Furthermore, in order to ensure the continuity of the supply of medical biology, territoriality rules apply to MBLs. These include rules regarding the acquisition of social rights or mergers between MBLs, compliance with which falls solely under the control of the regional health agencies (ARS).</w:t>
      </w:r>
    </w:p>
    <w:p>
      <w:r>
        <w:t>17. In their previous decisional practice, national and European competition authorities have identified a market for the provision of medical biology examinations. They have also considered, while leaving the question open, a segmentation between "routine" examinations and specialized examinations. Indeed, practice indicates that the activity of routine medical biology laboratories is not substitutable for that of specialized laboratories that handle rare biology acts and are subject to specific ministerial approval.</w:t>
      </w:r>
    </w:p>
    <w:p>
      <w:r>
        <w:t>18. The demand for routine medical biology examinations primarily comes from patients, while the demand for specialized examinations comes from MBLs and hospitals. As for the supply...</w:t>
      </w:r>
    </w:p>
    <w:p>
      <w:r>
        <w:rPr>
          <w:b/>
        </w:rPr>
        <w:t>[Pages 7–9]</w:t>
      </w:r>
    </w:p>
    <w:p>
      <w:r>
        <w:t>specialized medical biology examinations, it mainly comes from a few laboratories such as Cerba, Eurofins Biomnis, BPR, and university hospital centers. It partly consists of the provision of subcontracting services entrusted by medical biology laboratories (LBM), within the limit of 15% of the total activities of the LBM8.</w:t>
      </w:r>
    </w:p>
    <w:p>
      <w:r>
        <w:t>19. Furthermore, the decision-making practice of national and European authorities has considered that in terms of the offer of diagnostics and care9, it is not relevant to distinguish the offer based on whether it comes from private or public establishments10.</w:t>
      </w:r>
    </w:p>
    <w:p>
      <w:r>
        <w:t>20. The Authority has considered that the decision-making practice regarding the offer of diagnostics and care also applies to medical biology, which is subject to a comparable legal regime11. Indeed, patients are free to have their analyses performed in a private medical biology laboratory or a public hospital12. Moreover, in France, the pricing of medical biology examinations is subject to a nomenclature that applies to the various operators13. Additionally, the expenses for medical analyses are almost entirely covered by public funding sources (mainly social security) or private sources (mutuals and insurances, in particular). Finally, medical analysis laboratories, whether private or public, are subject to a common legal framework and must notably be accredited.</w:t>
      </w:r>
    </w:p>
    <w:p>
      <w:r>
        <w:t>21. Therefore, it does not seem relevant to segment the offer of medical biology examination services based on whether it comes from public hospitals or private laboratories.</w:t>
      </w:r>
    </w:p>
    <w:p>
      <w:r>
        <w:t>22. There is no need to challenge these market delineations during the present investigation.</w:t>
      </w:r>
    </w:p>
    <w:p>
      <w:r>
        <w:t>23. In this case, the competitive analysis will be conducted on the overall market for the provision of medical biology examinations as well as on the market for "routine" examinations, on which the parties are simultaneously active. The market for specialized examinations, in which Cerba is present, will also be examined as part of the analysis of the vertical effects of the operation.</w:t>
      </w:r>
    </w:p>
    <w:p>
      <w:r>
        <w:t>8 Articles L. 6211-19 and D. 6211-17 of the PHC.</w:t>
      </w:r>
    </w:p>
    <w:p>
      <w:r>
        <w:t>9 This is not the case in all Member States. Thus, the European Commission identified a market for private hospital care in the United Kingdom (decisions COMP/M.4367 – APW/APSA/Nordic Capital/Capio of March 16, 2007, and COMP/M.4788 – Rozier/BHS of August 21, 2007).</w:t>
      </w:r>
    </w:p>
    <w:p>
      <w:r>
        <w:t>10 Decisions No. 21-DCC-131 of July 29, 2021, relating to the exclusive control of the company Oriade-Noviale by the Biogroup, No. 20-DCC-38 of February 28, 2020, relating to the exclusive control of the company Hexagone Santé Méditerranée and the SCI Bonnefon-Carnot by the Elsan group, No. 19-DCC-261 of December 20, 2019, relating to the exclusive control of the Mathilde Médical Développement group by the Vivalto Santé group, No. 18-DCC-162 of October 15, 2018, relating to the exclusive control of the Capio group by Ramsay Générale de Santé, No. 17-DCC-95 of June 23, 2017, relating to the exclusive control of the MédiPôle Partenaires group by the Elsan group, No. 15-DCC-146 of October 26, 2015, relating to the exclusive control of Vitalia by Vedici Holding (CVC Capital Partners), letters from the Minister responsible for the economy C2007-91 to the board of the company Vitalia Développement 2, relating to a concentration in the sector of diagnostics and care in health establishments, C2007-80 of July 24, 2007, to the board of the company Vitalia Développement 1, relating to a concentration in the sector of care establishments in France, C2006-105 to the boards of the company Capio santé SA, relating to a concentration in the sector of the production of diagnostics and care in health establishments of October 26, 2006, and decisions of the European Commission COMP/M.7725 of August 28, 2015 – Vedici/Vitalia, COMP/M.7221 of April 24, 2014 – Bridgepoint Capital/Medipartenaires, and COMP/M.5805 of May 21, 2010 – 3i/Védici Groupe.</w:t>
      </w:r>
    </w:p>
    <w:p>
      <w:r>
        <w:t>11 Decisions of the Competition Authority No. 21-DCC-131 of July 29, 2021, relating to the exclusive control of the company Oriale-Noviale by the Biogroup, No. 20-DCC-92 of July 24, 2020, relating to the exclusive control of the Dyomedea-Neolab group by the Biogroup, No. 20-DCC-90 of July 17, 2020, relating to the exclusive control of the Laborizon group by the Biogroup, No. 18-DCC-70 of May 2, 2018, relating to the exclusive control of the Bio 7 group by the Cerba group.</w:t>
      </w:r>
    </w:p>
    <w:p>
      <w:r>
        <w:t>12 This does, however, require that public hospital laboratories be equipped to receive external public, a condition that is often met but not systematically.</w:t>
      </w:r>
    </w:p>
    <w:p>
      <w:r>
        <w:t>13 Article L. 6211-21 of the PHC: "Subject to cooperations in the field of medical biology conducted between health establishments within the framework of agreements, health cooperation groups, or territorial hospital groups and subject to the cooperation contracts mentioned in Article L. 6212-6, medical biology examinations are billed at the tariff of medical biology acts set in application of Articles L. 162-1-7 and L. 162-1-7-1 of the Social Security Code."</w:t>
      </w:r>
    </w:p>
    <w:p>
      <w:r>
        <w:t>2. GEOGRAPHIC MARKETS</w:t>
      </w:r>
    </w:p>
    <w:p>
      <w:r>
        <w:t>24. The decision-making practice has considered, while leaving the question open, to retain a national dimension for the market of specialized medical biology examinations and a local dimension for the market of routine medical biology examinations. Indeed, the demand and supply for routine analyses are at the local level, which is not the case for specialized analyses for which the suppliers are relatively few. Thus, competition authorities have examined the effects of operations on the market for routine medical biology examinations at the regional or sub-regional, even departmental, level14.</w:t>
      </w:r>
    </w:p>
    <w:p>
      <w:r>
        <w:t>25. In any case, the question of the exact definition of these markets can be left open insofar as, regardless of the delineation retained, the conclusions of the competitive analysis remain unchanged.</w:t>
      </w:r>
    </w:p>
    <w:p>
      <w:r>
        <w:t>26. In this case, the competitive analysis will be conducted at the national level for specialized medical biology examinations and at the national, regional, and departmental levels for routine medical biology examinations.</w:t>
      </w:r>
    </w:p>
    <w:p>
      <w:r>
        <w:t>III. Competitive Analysis</w:t>
      </w:r>
    </w:p>
    <w:p>
      <w:r>
        <w:t>27. The operation is likely to generate horizontal effects (A) and vertical effects (B).</w:t>
      </w:r>
    </w:p>
    <w:p>
      <w:r>
        <w:t>A. ANALYSIS OF HORIZONTAL EFFECTS</w:t>
      </w:r>
    </w:p>
    <w:p>
      <w:r>
        <w:t>28. The horizontal effects will be examined in the markets for the supply of biology equipment, reagents, and consumables (1) as well as in the markets for the provision of medical biology examinations (2).</w:t>
      </w:r>
    </w:p>
    <w:p>
      <w:r>
        <w:t>1. MARKETS FOR THE SUPPLY OF BIOLOGY EQUIPMENT, REAGENTS, AND CONSUMABLES</w:t>
      </w:r>
    </w:p>
    <w:p>
      <w:r>
        <w:t>29. The parties to the operation are involved in the markets for the supply of biology equipment, reagents, and consumables as buyers, for their own needs.</w:t>
      </w:r>
    </w:p>
    <w:p>
      <w:r>
        <w:t>30. The notifying party indicates that the combined amount of purchases by Cerba and Labexa in biology equipment, reagents, and consumables amounts to approximately [confidential] million euros in 2020. The parties primarily source from divisions specialized in in vitro diagnostics of large international pharmaceutical groups such as Roche, Abbott, or Biomérieux.</w:t>
      </w:r>
    </w:p>
    <w:p>
      <w:r>
        <w:t>31. At the national level, the notifying party estimates that the market share of the new entity in this market will be less than 15%.</w:t>
      </w:r>
    </w:p>
    <w:p>
      <w:r>
        <w:t>32. Furthermore, regardless of the segmentation retained for the markets for the supply of biology equipment, reagents, and consumables in France, the notifying party estimates that the market share of the new entity will also be less than 15%.</w:t>
      </w:r>
    </w:p>
    <w:p>
      <w:r>
        <w:t>14 See the aforementioned decisions.</w:t>
      </w:r>
    </w:p>
    <w:p>
      <w:r>
        <w:t>33. Consequently, the operation is not likely to harm competition through horizontal effects on the market for the supply of biology equipment, reagents, and consumables, regardless of the segmentation considered.</w:t>
      </w:r>
    </w:p>
    <w:p>
      <w:r>
        <w:t>2. MARKETS FOR THE PROVISION OF MEDICAL BIOLOGY EXAMINATIONS</w:t>
      </w:r>
    </w:p>
    <w:p>
      <w:r>
        <w:t>34. The parties are simultaneously present in the overall market for the provision of medical biology examinations (a) and in the market for routine medical biology examinations (b).</w:t>
      </w:r>
    </w:p>
    <w:p>
      <w:r>
        <w:t>a) In the overall market for the provision of medical biology examinations</w:t>
      </w:r>
    </w:p>
    <w:p>
      <w:r>
        <w:t>35. According to the notifying party, the market share of the new entity in 2020, excluding public hospital laboratories, will be [10-20]% in the overall market for the provision of medical biology examinations at the national level.</w:t>
      </w:r>
    </w:p>
    <w:p>
      <w:r>
        <w:t>36. Furthermore, the main competitors of the new entity are laboratories of national or even international dimension such as Biogroup, Synlab, Inovie, or Eurofins, in addition to public health establishments (hospitals).</w:t>
      </w:r>
    </w:p>
    <w:p>
      <w:r>
        <w:t>37. Given this limited market share and the presence of large competing groups, the operation is not likely to harm competition in this market through horizontal effects.</w:t>
      </w:r>
    </w:p>
    <w:p>
      <w:r>
        <w:t>b) In the market for routine medical biology examinations</w:t>
      </w:r>
    </w:p>
    <w:p>
      <w:r>
        <w:t>38. In accordance with decision-making practice, the analysis of the market for routine medical biology examinations will be conducted at the national and regional levels, as well as within the various departments where the parties' activities overlap.</w:t>
      </w:r>
    </w:p>
    <w:p>
      <w:r>
        <w:t>39. In the markets for routine medical biology examinations, price competition is limited, as, with certain exceptions, the price of the majority of acts is regulated. The price applicable to examinations and associated ancillary fees (sampling and travel) is thus defined based on a nomenclature of acts. Some competition exists for acts outside the nomenclature offered by LBMs at freely set prices. For example, the price of serological tests for the coronavirus Covid-19 used during the health crisis in spring 2020 was, before their inclusion in the nomenclature at the end of 2020, freely set by each of the LBMs offering them. However, these acts outside the nomenclature represent a small proportion of the volume of acts performed.</w:t>
      </w:r>
    </w:p>
    <w:p>
      <w:r>
        <w:t>40. Competition among LBMs thus mainly occurs on elements independent of price, such as geographical proximity and the quality of services and service (opening hours, reporting times, range of analysis offerings, quality of patient reception, relationship between the biologist and the patient, etc.). Agreements concluded by LBMs with clinics and nursing homes may also confer a competitive advantage to these laboratories, due to the significant volume of examinations that these partners ensure for them.</w:t>
      </w:r>
    </w:p>
    <w:p>
      <w:r>
        <w:t>41. In order to assess whether an operation is likely to harm competition in a market, the guidelines of the Competition Authority regarding the control of concentrations specify that the market shares of the new entity and its competitors and the degree of market concentration are notably examined15. These two criteria are assessed on a case-by-case basis by the Authority, which also takes into account the characteristics and functioning of the analyzed markets.</w:t>
      </w:r>
    </w:p>
    <w:p>
      <w:r>
        <w:t>15 Guidelines of the Competition Authority regarding the control of concentrations, point 565 and following.</w:t>
      </w:r>
    </w:p>
    <w:p>
      <w:r>
        <w:rPr>
          <w:b/>
        </w:rPr>
        <w:t>[Pages 10–12]</w:t>
      </w:r>
    </w:p>
    <w:p>
      <w:r>
        <w:t>42. At the national level, the parties provided estimates of market shares in value excluding public hospital laboratories. Regarding the analysis at the local level, there are no available data on the size of these markets. The local analysis was thus initially conducted in volume, that is to say, in terms of the number of sites.</w:t>
      </w:r>
    </w:p>
    <w:p>
      <w:r>
        <w:t>43. Furthermore, these estimates of market shares in terms of the number of sites were provided without taking into account the activity of public hospitals in routine medical biology, due to the lack of precise data. For the reasons previously stated, these hospitals are part of the relevant market, provided that their laboratories are equipped to receive the public and perform routine tests that are not reserved solely for hospitalized individuals.</w:t>
      </w:r>
    </w:p>
    <w:p>
      <w:r>
        <w:t>44. Thus, the market shares in volume retained are based on a particularly conservative assumption, consisting of only considering the market shares in terms of the number of sites of private medical biology laboratories, without taking into account the public hospital laboratories.</w:t>
      </w:r>
    </w:p>
    <w:p>
      <w:r>
        <w:t>45. On this basis, when the market share in terms of the number of sites of the new entity provided by the parties is below 50%, a threshold generally used to presume the existence of significant market power, and when the competition from alternative operators remaining in the market has been deemed sufficient, the Authority considered that it could rule out any risk of harm to competition, without the need for a more in-depth competitive analysis.</w:t>
      </w:r>
    </w:p>
    <w:p>
      <w:r>
        <w:t>46. Conversely, when the market share in terms of the number of sites of the new entity provided by the parties is above 50%, the Authority conducted a thorough examination of the competitive situation, notably collecting data on the revenues generated by the various public and private laboratories present in each of the concerned areas, which allowed for the determination of market shares in value.</w:t>
      </w:r>
    </w:p>
    <w:p>
      <w:r>
        <w:t>National Level Analysis</w:t>
      </w:r>
    </w:p>
    <w:p>
      <w:r>
        <w:t>47. According to the estimates communicated by the notifying party, the cumulative market share of the parties in value would be [10-20]%. Furthermore, the new entity will face competition from national or even international private players, such as Biogroupe, Synlab, Inovie, or Eurofins, as well as the presence of numerous public hospitals.</w:t>
      </w:r>
    </w:p>
    <w:p>
      <w:r>
        <w:t>48. Therefore, the operation is not likely to harm competition in the national market for routine medical biology tests through horizontal effects.</w:t>
      </w:r>
    </w:p>
    <w:p>
      <w:r>
        <w:t>Regional Level Analysis</w:t>
      </w:r>
    </w:p>
    <w:p>
      <w:r>
        <w:t>49. The activities of the parties overlap within the Nouvelle-Aquitaine and Occitanie regions.</w:t>
      </w:r>
    </w:p>
    <w:p>
      <w:r>
        <w:t>50. In the Nouvelle-Aquitaine region, the market share of the new entity in terms of the number of sites held by private laboratories is [30-40]%.</w:t>
      </w:r>
    </w:p>
    <w:p>
      <w:r>
        <w:t>51. In the Occitanie region, this share is [10-20]%.</w:t>
      </w:r>
    </w:p>
    <w:p>
      <w:r>
        <w:t>52. Furthermore, in addition to the competition from public hospital laboratories, the new entity will face competition from a large number of private laboratories with national reach, such as Synlab, Inovie, Novabio, Unilabs, or Biogroup.</w:t>
      </w:r>
    </w:p>
    <w:p>
      <w:r>
        <w:t>53. Therefore, the operation is not likely to harm competition in the market for routine medical biology tests at the level of the Nouvelle-Aquitaine and Occitanie regions.</w:t>
      </w:r>
    </w:p>
    <w:p>
      <w:r>
        <w:t>Departmental Level Analysis</w:t>
      </w:r>
    </w:p>
    <w:p>
      <w:r>
        <w:t>54. The operation results in an overlap of activities between the parties in two departments, Charente-Maritime (17) and Hautes-Pyrénées (65).</w:t>
      </w:r>
    </w:p>
    <w:p>
      <w:r>
        <w:t>Analysis of the effects in the Charente-Maritime department, where the market share of the new entity in terms of the number of sites of private laboratories is below 50%.</w:t>
      </w:r>
    </w:p>
    <w:p>
      <w:r>
        <w:t>55. The market share of the new entity in terms of the number of sites of private laboratories is [40-50]% (12 laboratories for Cerba and 1 laboratory for Labexa) in the Charente-Maritime department.</w:t>
      </w:r>
    </w:p>
    <w:p>
      <w:r>
        <w:t>56. The new entity will, however, face competition from large groups of private laboratories, Bio 17 and Synlab, which have 11 and 6 laboratories, respectively.</w:t>
      </w:r>
    </w:p>
    <w:p>
      <w:r>
        <w:t>57. Given these elements, the operation is not likely to harm competition in the Charente-Maritime department.</w:t>
      </w:r>
    </w:p>
    <w:p>
      <w:r>
        <w:t>Analysis of the effects in the Hautes-Pyrénées department, where the market share of the new entity in terms of the number of sites of private laboratories is above 50%.</w:t>
      </w:r>
    </w:p>
    <w:p>
      <w:r>
        <w:t>58. The market share of the new entity in terms of the number of sites of private laboratories is [50-60]% in the Hautes-Pyrénées department. It rises to [50-60]% when including public hospital laboratories open to external patients.</w:t>
      </w:r>
    </w:p>
    <w:p>
      <w:r>
        <w:t>59. Prior to the operation, Cerba had 7 sites in the Hautes-Pyrénées and a market share in revenue for 2020, including public hospital laboratories, estimated at [40-50]%. The target, for its part, has 1 site, and a market share in revenue estimated at [0-5]%, so that the market share in value of the new entity will be [50-60]%.</w:t>
      </w:r>
    </w:p>
    <w:p>
      <w:r>
        <w:t>60. Only one competing private medical biology group, Inovie, is present in the Hautes-Pyrénées department, with a market share in value of [40-50]%. The competitive pressure from public hospital laboratories is low since their market share is [0-5]%.</w:t>
      </w:r>
    </w:p>
    <w:p>
      <w:r>
        <w:t>61. The operation will thus have the effect of strengthening the position of the Cerba group, which was already the main operator in the area, and of eliminating one of the two private operators in the area, even though the offer from public hospitals is limited.</w:t>
      </w:r>
    </w:p>
    <w:p>
      <w:r>
        <w:t>62. Given these elements, the strengthening of the position of the new entity in the considered market is not compensated by a credible and sufficient alternative offer from competing operators. Therefore, the operation is likely to harm competition in the Hautes-Pyrénées department. Cerba has, however, proposed commitments, analyzed in Section IV of this decision, to address this risk of harm to competition.</w:t>
      </w:r>
    </w:p>
    <w:p>
      <w:r>
        <w:t>B. ANALYSIS OF VERTICAL EFFECTS</w:t>
      </w:r>
    </w:p>
    <w:p>
      <w:r>
        <w:t>63. A vertical concentration can restrict competition by making it more difficult for competitors to access the markets in which the new entity will be active, potentially driving them out or penalizing them by increasing their costs. This lock-in can target downstream markets when the integrated company refuses to sell an input to its downstream competitors, or upstream markets when the downstream branch of the integrated company refuses to purchase products from upstream manufacturers, thereby reducing their outlets.</w:t>
      </w:r>
    </w:p>
    <w:p>
      <w:r>
        <w:t>64. In this case, the Cerba group engages in the provision of specialized medical biology examination services, with a market share in value excluding public hospital laboratories of [40-50]%. The Labexa group is present in this market as a demander. It is therefore necessary to determine whether the operation is likely to limit the access of competing laboratories to the market for specialized medical biology examinations.</w:t>
      </w:r>
    </w:p>
    <w:p>
      <w:r>
        <w:t>65. Such a risk can, however, be ruled out insofar as, on the one hand, the operation does not change Cerba's incentives to provide such examinations to competing laboratories. Indeed, Labexa already outsources all of its specialized medical biology examinations to Cerba. Moreover, Labexa represents only a very small share of the revenue generated by Cerba in specialized medical biology examinations. On the other hand, the competing laboratories of the new entity will continue to have alternatives to Cerba, with the Eurofins Biomnis group being the main private operator offering such services.</w:t>
      </w:r>
    </w:p>
    <w:p>
      <w:r>
        <w:t>66. Consequently, the operation is not likely to harm competition through vertical effects in the market for specialized medical biology examinations.</w:t>
      </w:r>
    </w:p>
    <w:p>
      <w:r>
        <w:t>IV. Commitments</w:t>
      </w:r>
    </w:p>
    <w:p>
      <w:r>
        <w:t>67. In order to address the identified risk of harm to competition in the market for routine medical biology examinations in the Hautes-Pyrénées, the notifying party submitted a proposal for commitments, the text of which, attached in the annex, forms an integral part of this decision.</w:t>
      </w:r>
    </w:p>
    <w:p>
      <w:r>
        <w:t>A. THE PROPOSED COMMITMENTS</w:t>
      </w:r>
    </w:p>
    <w:p>
      <w:r>
        <w:t>68. The commitments proposed on December 15, 2021, by the notifying party aim to remedy the anticompetitive effects that the operation generates through horizontal effects in the market for routine medical biology examinations in the Hautes-Pyrénées department.</w:t>
      </w:r>
    </w:p>
    <w:p>
      <w:r>
        <w:t>69. To address the competition concerns identified in the Hautes-Pyrénées department, Cerba has committed to sell to a buyer a medical analysis laboratory site.</w:t>
      </w:r>
    </w:p>
    <w:p>
      <w:r>
        <w:t>70. The buyer must be independent, legally and commercially, from the Cerba group or the EQT investment fund. It must not have any capital link, direct or indirect.</w:t>
      </w:r>
    </w:p>
    <w:p>
      <w:r>
        <w:rPr>
          <w:b/>
        </w:rPr>
        <w:t>[Pages 13–15]</w:t>
      </w:r>
    </w:p>
    <w:p>
      <w:r>
        <w:t>with them. The buyer must also possess the financial resources and the appropriate skills to be able to preserve and develop, in a viable manner, the capacity of the divested assets to actively compete with the new entity in the medical biology sector.</w:t>
      </w:r>
    </w:p>
    <w:p>
      <w:r>
        <w:t>71. In order to preserve the structural effect of the commitment, Cerba undertakes not to acquire direct or indirect influence over all or part of the divested assets for a period of ten years from the date of notification of the Decision.</w:t>
      </w:r>
    </w:p>
    <w:p>
      <w:r>
        <w:t>72. Finally, Cerba commits to appoint an independent representative, whose mission will be to ensure the proper execution of all its obligations, particularly regarding the implementation of the conditions of the divestiture process and the maintenance of the viability, market value, and competitiveness of the divested assets.</w:t>
      </w:r>
    </w:p>
    <w:p>
      <w:r>
        <w:t>B. ASSESSMENT OF THE PROPOSED COMMITMENTS</w:t>
      </w:r>
    </w:p>
    <w:p>
      <w:r>
        <w:t>1. ON THE PRINCIPLES GUIDING THE ASSESSMENT OF THE PROPOSED COMMITMENTS</w:t>
      </w:r>
    </w:p>
    <w:p>
      <w:r>
        <w:t>73. In the case of a horizontal concentration, the Authority primarily seeks structural corrective measures, aimed at ensuring competitive market structures through divestitures to an appropriate acquirer capable of exerting real competition, or the elimination of capital links between competitors.</w:t>
      </w:r>
    </w:p>
    <w:p>
      <w:r>
        <w:t>74. The Authority ensures that these commitments meet several criteria:</w:t>
        <w:br/>
        <w:t>- they must be effective, meaning they must effectively remedy the identified competition concerns;</w:t>
        <w:br/>
        <w:t>- their implementation must not raise doubts, which implies that they should be drafted precisely, without ambiguity, and that the operational modalities for their realization should be sufficiently detailed;</w:t>
        <w:br/>
        <w:t>- their implementation must be swift, as competition is not preserved until they are realized;</w:t>
        <w:br/>
        <w:t>- they must be controllable.</w:t>
      </w:r>
    </w:p>
    <w:p>
      <w:r>
        <w:t>75. In this case, the proposed commitments aim to limit the strengthening of activities between the parties by preserving the competitive structure of the market as it existed prior to the operation.</w:t>
      </w:r>
    </w:p>
    <w:p>
      <w:r>
        <w:t>76. Furthermore, the effectiveness of the remedies depends on the divestiture of the relevant assets to an appropriate acquirer. To restore sufficient competitive conditions, the acquirer must be capable of effectively competing with the new entity in the relevant markets.</w:t>
      </w:r>
    </w:p>
    <w:p>
      <w:r>
        <w:t>77. This implies that the acquirer must present all guarantees of viability and independence, both legal and commercial, from Cerba. Therefore, it must be a medical biology player, independent of both Cerba and the EQT fund, and capable of ensuring the sustainable operation of the divested assets.</w:t>
      </w:r>
    </w:p>
    <w:p>
      <w:r>
        <w:t>78. Finally, the acquisition of the relevant site must not be likely to create new competition concerns in the area concerned, by strengthening the position of the only already established competitor.</w:t>
      </w:r>
    </w:p>
    <w:p>
      <w:r>
        <w:t>2. ON THE APPROPRIATENESS OF THE PROPOSED COMMITMENTS</w:t>
      </w:r>
    </w:p>
    <w:p>
      <w:r>
        <w:t>79. The commitments proposed by the notifying party consist of the divestiture of the medical biology site currently held by the Labexa group, located in Maubourguet, in the Hautes-Pyrénées department (65700).</w:t>
      </w:r>
    </w:p>
    <w:p>
      <w:r>
        <w:t>80. This measure will address the identified competition concerns in this department as it eliminates any overlap of activities between the parties in the considered area.</w:t>
      </w:r>
    </w:p>
    <w:p>
      <w:r>
        <w:t>81. Consequently, the Authority considers that the commitments proposed by the notifying party are sufficient to eliminate the competition concerns resulting from the operation.</w:t>
      </w:r>
    </w:p>
    <w:p>
      <w:r>
        <w:t>DECIDES</w:t>
      </w:r>
    </w:p>
    <w:p>
      <w:r>
        <w:t>Sole Article: The operation notified under number 21-240 is authorized subject to the commitments described in paragraphs 67 to 81 above and attached to this decision.</w:t>
      </w:r>
    </w:p>
    <w:p>
      <w:r>
        <w:t>The interim president,</w:t>
        <w:br/>
        <w:t>Emmanuel Combe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