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https://www.autoritedelaconcurrence.fr/fr/decision-de-controle-des-concentrations/relative-la-prise-de-controle-exclusif-du-groupe-laf-par-la</w:t>
      </w:r>
    </w:p>
    <w:p>
      <w:r>
        <w:t>Pages translated : 2</w:t>
      </w:r>
    </w:p>
    <w:p/>
    <w:p>
      <w:r>
        <w:rPr>
          <w:b/>
        </w:rPr>
        <w:t>[Pages 1–2]</w:t>
      </w:r>
    </w:p>
    <w:p>
      <w:r>
        <w:t xml:space="preserve">FRENCH REPUBLIC  </w:t>
        <w:br/>
        <w:t xml:space="preserve">Decision No. 16-DCC-150 of October 6, 2016  </w:t>
        <w:br/>
        <w:t xml:space="preserve">regarding the exclusive control acquisition of Groupe LAF by the company  </w:t>
        <w:br/>
        <w:t xml:space="preserve">Five Arrows Managers  </w:t>
        <w:br/>
        <w:t>The Competition Authority,</w:t>
      </w:r>
    </w:p>
    <w:p>
      <w:r>
        <w:t xml:space="preserve">Having regard to the complete notification file sent to the mergers department on  </w:t>
        <w:br/>
        <w:t>September 14, 2016, concerning the exclusive control acquisition of Groupe LAF by the company Five Arrows Managers, and materialized by a share transfer and contribution agreement dated July 25, 2016;</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Groupe LAF, primarily active in the sector of the distribution of pharmaceuticals, parapharmaceutical products, and optics, by the company Five Arrows Managers.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16-163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