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https://www.autoritedelaconcurrence.fr/fr/decision-de-controle-des-concentrations/relative-la-prise-de-controle-exclusif-du-groupe-lavollee</w:t>
      </w:r>
    </w:p>
    <w:p>
      <w:r>
        <w:t>Pages translated : 2</w:t>
      </w:r>
    </w:p>
    <w:p/>
    <w:p>
      <w:r>
        <w:rPr>
          <w:b/>
        </w:rPr>
        <w:t>[Pages 1–2]</w:t>
      </w:r>
    </w:p>
    <w:p>
      <w:r>
        <w:t>FRENCH REPUBLIC</w:t>
        <w:br/>
        <w:t>Decision No. 24-DCC-285 of December 16, 2024</w:t>
        <w:br/>
        <w:t>regarding the exclusive control acquisition of the Lavollée group</w:t>
        <w:br/>
        <w:t>by Waterland</w:t>
        <w:br/>
        <w:t>The Competition Authority,</w:t>
        <w:br/>
        <w:t>Having regard to the complete notification file sent to the mergers department on</w:t>
        <w:br/>
        <w:t>November 29, 2024, concerning the exclusive control acquisition of Lavollée SAS and its controlled subsidiaries ("Lavollée group") by Waterland Private Equity Fund IX C.V. ("Waterland"), formalized by an indicative offer dated October 24, 2024;</w:t>
        <w:br/>
        <w:t>Having regard to Book IV of the Commercial Code relating to the freedom of prices and competition, and in particular its Articles L. 430-1 to L. 430-7;</w:t>
        <w:br/>
        <w:t>Adopts the following decision:</w:t>
        <w:br/>
        <w:t>1. The notified operation consists of the indirect acquisition by Waterland of approximately 88% of the share capital and voting rights of the Lavollée group, through a newly created company specifically established for the needs of the operation. The Lavollée group is active in the distribution of chemical products for industrial purposes. The operation constitutes a concentration within the meaning of Article L. 430-1 of the Commercial Code. Given the turnover generated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24-307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