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https://www.autoritedelaconcurrence.fr/fr/decision-de-controle-des-concentrations/relative-la-prise-de-controle-exclusif-du-groupe-lccis-par</w:t>
      </w:r>
    </w:p>
    <w:p>
      <w:r>
        <w:t>Pages translated : 2</w:t>
      </w:r>
    </w:p>
    <w:p/>
    <w:p>
      <w:r>
        <w:rPr>
          <w:b/>
        </w:rPr>
        <w:t>[Pages 1–2]</w:t>
      </w:r>
    </w:p>
    <w:p>
      <w:r>
        <w:t xml:space="preserve">FRENCH REPUBLIC  </w:t>
        <w:br/>
        <w:t xml:space="preserve">Decision No. 19-DCC-173 of September 13, 2019  </w:t>
        <w:br/>
        <w:t xml:space="preserve">regarding the exclusive control acquisition of the LCCIS group by The Carlyle Group  </w:t>
        <w:br/>
        <w:t>The Competition Authority,</w:t>
      </w:r>
    </w:p>
    <w:p>
      <w:r>
        <w:t>Having regard to the complete notification file submitted to the mergers department on August 19, 2019, concerning the exclusive control acquisition of the LCCIS group by The Carlyle Group, and formalized by a transfer agreement signed on August 5, 2019;</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Carlyle Group of the company Financière LCCIS2 and its subsidiaries, which together form the LCCIS group, active in the telecommunications cable distribution sector. It constitutes a concentration operation within the meaning of Article L. 430-1 of the Commercial Code. Given the revenues generated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19-219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