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https://www.autoritedelaconcurrence.fr/fr/decision-de-controle-des-concentrations/relative-la-prise-de-controle-exclusif-du-groupe-leader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25-DCC-306 of December 10, 2025</w:t>
        <w:br/>
        <w:t>regarding the exclusive control acquisition of the Leader Insurance group</w:t>
        <w:br/>
        <w:t>by the company Ardonagh France</w:t>
        <w:br/>
        <w:t>The Competition Authority,</w:t>
        <w:br/>
        <w:t>Having regard to the complete notification file sent to the mergers department on</w:t>
        <w:br/>
        <w:t>November 19, 2025, concerning the exclusive control acquisition of the Leader Insurance group by the</w:t>
        <w:br/>
        <w:t>company Ardonagh France, formalized by a transfer agreement protocol dated</w:t>
        <w:br/>
        <w:t>September 18,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 by the company Ardonagh France, a subsidiary of the</w:t>
        <w:br/>
        <w:t>Ardonagh group, of 100% of the capital of the company Génération Insurance, a holding company of the</w:t>
        <w:br/>
        <w:t>Leader Insurance group. The sector concerned by this operation is that of the distribution of insurance products. This operation constitutes a concentration within the meaning of Article L. 430-1 of the Commercial Code. Given the turnover achieved by the companies concerned,</w:t>
        <w:br/>
        <w:t>the operation does not fall under the jurisdiction of the European Union. On the other hand, the control thresholds mentioned in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25-332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