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https://www.autoritedelaconcurrence.fr/fr/decision-de-controle-des-concentrations/relative-la-prise-de-controle-exclusif-du-groupe-legendre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21-DCC-202 of November 12, 2021  </w:t>
        <w:br/>
        <w:t xml:space="preserve">regarding the exclusive control of the Legendre group by the  </w:t>
        <w:br/>
        <w:t xml:space="preserve">company Orfite  </w:t>
        <w:br/>
        <w:t xml:space="preserve">The Competition Authority,  </w:t>
        <w:br/>
        <w:t xml:space="preserve">Having regard to the complete notification file sent to the mergers department on October 25, 2021,  </w:t>
        <w:br/>
        <w:t xml:space="preserve">concerning the exclusive control of the Legendre group by the company Orfite, formalized by  </w:t>
        <w:br/>
        <w:t xml:space="preserve">an acquisition protocol dated July 13, 2021, and an amendment to this protocol dated  </w:t>
        <w:br/>
        <w:t xml:space="preserve">September 20,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submitted by the notifying party during the investigation;  </w:t>
        <w:br/>
        <w:t xml:space="preserve">Adopts the following decision:  </w:t>
        <w:br/>
        <w:t xml:space="preserve">1. The notified operation consists of the exclusive control, by the company Orfite, of the company  </w:t>
        <w:br/>
        <w:t xml:space="preserve">GLF2, a company currently being created which will control the various constituent companies of the  </w:t>
        <w:br/>
        <w:t xml:space="preserve">Legendre group, which is active in the sectors of road freight transport, transport brokerage, and  </w:t>
        <w:br/>
        <w:t xml:space="preserve">logistics services. It constitutes a concentration operation within the meaning of Article L. 430-1 of the  </w:t>
        <w:br/>
        <w:t xml:space="preserve">Commercial Code. Given the turnover achieved by the concerned companies, the operation does not fall  </w:t>
        <w:br/>
        <w:t xml:space="preserve">within the jurisdiction of the European Union. However, the control thresholds mentioned in I. of Article  </w:t>
        <w:br/>
        <w:t xml:space="preserve">L. 430-2 of the Commercial Code are exceeded. This operation is therefore subject to the provisions of  </w:t>
        <w:br/>
        <w:t xml:space="preserve">Articles L. 430-3 and following of the Commercial Code relating to economic concentration.  </w:t>
        <w:br/>
        <w:t xml:space="preserve">2. In view of the elements of the file, the operation is not likely to harm competition in the relevant  </w:t>
        <w:br/>
        <w:t>markets.</w:t>
      </w:r>
    </w:p>
    <w:p>
      <w:r>
        <w:t xml:space="preserve">DECIDES  </w:t>
        <w:br/>
        <w:t xml:space="preserve">Sole Article: The operation notified under number 21-196 is authorized.  </w:t>
        <w:br/>
        <w:t xml:space="preserve">The interim 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